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6663">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南海区社会青年参加202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次普通高中音乐等科目学业水平考试</w:t>
      </w:r>
      <w:r>
        <w:rPr>
          <w:rFonts w:hint="eastAsia" w:ascii="仿宋_GB2312" w:hAnsi="仿宋_GB2312" w:eastAsia="仿宋_GB2312" w:cs="仿宋_GB2312"/>
          <w:b/>
          <w:bCs/>
          <w:sz w:val="32"/>
          <w:szCs w:val="32"/>
          <w:lang w:val="en-US" w:eastAsia="zh-CN"/>
        </w:rPr>
        <w:t>的报名须知</w:t>
      </w:r>
    </w:p>
    <w:p w14:paraId="218361E0">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14:paraId="703F2ECA">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根据《佛山市教育局关于做好2026年第二次佛山市普通高中音乐等科目学业水平合格性考试报名工作的通知》（佛山教招</w:t>
      </w:r>
      <w:r>
        <w:rPr>
          <w:rFonts w:hint="eastAsia" w:ascii="仿宋_GB2312" w:hAnsi="仿宋_GB2312" w:eastAsia="仿宋_GB2312" w:cs="仿宋_GB2312"/>
          <w:color w:val="auto"/>
          <w:sz w:val="32"/>
          <w:szCs w:val="32"/>
          <w:lang w:val="en-US" w:eastAsia="zh-CN"/>
        </w:rPr>
        <w:t>〔2026〕13号）</w:t>
      </w:r>
      <w:r>
        <w:rPr>
          <w:rFonts w:hint="eastAsia" w:ascii="仿宋_GB2312" w:hAnsi="仿宋_GB2312" w:eastAsia="仿宋_GB2312" w:cs="仿宋_GB2312"/>
          <w:sz w:val="32"/>
          <w:szCs w:val="32"/>
          <w:lang w:val="en-US" w:eastAsia="zh-CN"/>
        </w:rPr>
        <w:t>要求，结合我区的实际情况，现将南海区社会青年参加</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次佛山市普通高中音乐、美术、信息技术、通用技术科目学业水平合格性考试</w:t>
      </w:r>
      <w:r>
        <w:rPr>
          <w:rFonts w:hint="eastAsia" w:ascii="仿宋_GB2312" w:hAnsi="仿宋_GB2312" w:eastAsia="仿宋_GB2312" w:cs="仿宋_GB2312"/>
          <w:sz w:val="32"/>
          <w:szCs w:val="32"/>
          <w:lang w:val="en-US" w:eastAsia="zh-CN"/>
        </w:rPr>
        <w:t>报名的有关事宜公布如下：</w:t>
      </w:r>
    </w:p>
    <w:p w14:paraId="3C4E290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textAlignment w:val="auto"/>
        <w:outlineLvl w:val="9"/>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lang w:val="en-US" w:eastAsia="zh-CN"/>
        </w:rPr>
        <w:t xml:space="preserve"> 一、可在南海区报考的社会青年范围</w:t>
      </w:r>
    </w:p>
    <w:p w14:paraId="7131629E">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具有我市户籍（或在我市居住/工作）、拟申请高中同等学力且未取得高中阶段及以上教育毕业证书的16周岁以上的社会青年。</w:t>
      </w:r>
    </w:p>
    <w:p w14:paraId="7EA679D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textAlignment w:val="auto"/>
        <w:outlineLvl w:val="9"/>
        <w:rPr>
          <w:rFonts w:ascii="黑体" w:hAnsi="宋体" w:eastAsia="黑体" w:cs="宋体"/>
          <w:bCs/>
          <w:kern w:val="0"/>
          <w:sz w:val="32"/>
          <w:szCs w:val="32"/>
        </w:rPr>
      </w:pPr>
      <w:r>
        <w:rPr>
          <w:rFonts w:hint="eastAsia" w:ascii="黑体" w:hAnsi="宋体" w:eastAsia="黑体" w:cs="宋体"/>
          <w:bCs/>
          <w:kern w:val="0"/>
          <w:sz w:val="32"/>
          <w:szCs w:val="32"/>
        </w:rPr>
        <w:t>二、报名时间</w:t>
      </w:r>
      <w:r>
        <w:rPr>
          <w:rFonts w:hint="eastAsia" w:ascii="黑体" w:hAnsi="宋体" w:eastAsia="黑体" w:cs="宋体"/>
          <w:bCs/>
          <w:kern w:val="0"/>
          <w:sz w:val="32"/>
          <w:szCs w:val="32"/>
          <w:lang w:eastAsia="zh-CN"/>
        </w:rPr>
        <w:t>、</w:t>
      </w:r>
      <w:r>
        <w:rPr>
          <w:rFonts w:hint="eastAsia" w:ascii="黑体" w:hAnsi="宋体" w:eastAsia="黑体" w:cs="宋体"/>
          <w:bCs/>
          <w:kern w:val="0"/>
          <w:sz w:val="32"/>
          <w:szCs w:val="32"/>
        </w:rPr>
        <w:t>地点</w:t>
      </w:r>
      <w:r>
        <w:rPr>
          <w:rFonts w:hint="eastAsia" w:ascii="黑体" w:hAnsi="宋体" w:eastAsia="黑体" w:cs="宋体"/>
          <w:bCs/>
          <w:kern w:val="0"/>
          <w:sz w:val="32"/>
          <w:szCs w:val="32"/>
          <w:lang w:val="en-US" w:eastAsia="zh-CN"/>
        </w:rPr>
        <w:t>和方法</w:t>
      </w:r>
    </w:p>
    <w:p w14:paraId="7ED1E39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（一）报名时间：5月27-29日，</w:t>
      </w:r>
      <w:r>
        <w:rPr>
          <w:rFonts w:hint="eastAsia" w:ascii="仿宋_GB2312" w:hAnsi="宋体" w:eastAsia="仿宋_GB2312" w:cs="宋体"/>
          <w:kern w:val="0"/>
          <w:sz w:val="32"/>
          <w:szCs w:val="32"/>
        </w:rPr>
        <w:t>上午9:00-11:00，下午</w:t>
      </w:r>
      <w:r>
        <w:rPr>
          <w:rFonts w:hint="eastAsia" w:ascii="仿宋_GB2312" w:hAnsi="宋体" w:eastAsia="仿宋_GB2312" w:cs="宋体"/>
          <w:kern w:val="0"/>
          <w:sz w:val="32"/>
          <w:szCs w:val="32"/>
          <w:lang w:val="en-US" w:eastAsia="zh-CN"/>
        </w:rPr>
        <w:t>2:30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4:3</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w:t>
      </w:r>
    </w:p>
    <w:p w14:paraId="432F5F44">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（二）报名地点：南海区桂城街道石龙南路10号桂城中学德润楼2楼教务处。</w:t>
      </w:r>
      <w:bookmarkStart w:id="2" w:name="_GoBack"/>
      <w:bookmarkEnd w:id="2"/>
    </w:p>
    <w:p w14:paraId="4515B7D1">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（三）报名方法：</w:t>
      </w:r>
    </w:p>
    <w:p w14:paraId="3A2AA343">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考生填写并打印南海区学考报名表（见附件），携带考生身份证、户口本原件及复印件前往桂城中学报名。</w:t>
      </w:r>
    </w:p>
    <w:p w14:paraId="5B3FAE0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咨询电话：</w:t>
      </w:r>
    </w:p>
    <w:p w14:paraId="47D54EE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南海区招生办：86209556转3</w:t>
      </w:r>
    </w:p>
    <w:p w14:paraId="5EC2D5CB">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桂城中学:81816798，梁老师</w:t>
      </w:r>
    </w:p>
    <w:p w14:paraId="5D91F357">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缴费方式：</w:t>
      </w:r>
    </w:p>
    <w:p w14:paraId="37D0D1A3">
      <w:pPr>
        <w:keepNext w:val="0"/>
        <w:keepLines w:val="0"/>
        <w:pageBreakBefore w:val="0"/>
        <w:numPr>
          <w:ilvl w:val="0"/>
          <w:numId w:val="0"/>
        </w:numPr>
        <w:kinsoku/>
        <w:wordWrap/>
        <w:overflowPunct/>
        <w:topLinePunct w:val="0"/>
        <w:autoSpaceDE/>
        <w:autoSpaceDN/>
        <w:bidi w:val="0"/>
        <w:adjustRightInd w:val="0"/>
        <w:snapToGrid w:val="0"/>
        <w:spacing w:line="560" w:lineRule="exact"/>
        <w:ind w:right="0" w:rightChars="0"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宋体" w:eastAsia="仿宋_GB2312" w:cs="宋体"/>
          <w:kern w:val="0"/>
          <w:sz w:val="32"/>
          <w:szCs w:val="32"/>
          <w:lang w:val="en-US" w:eastAsia="zh-CN"/>
        </w:rPr>
        <w:t>确认报名后，5</w:t>
      </w:r>
      <w:r>
        <w:rPr>
          <w:rFonts w:hint="eastAsia" w:ascii="仿宋_GB2312" w:hAnsi="仿宋_GB2312" w:eastAsia="仿宋_GB2312" w:cs="仿宋_GB2312"/>
          <w:sz w:val="32"/>
          <w:szCs w:val="32"/>
          <w:lang w:val="en-US" w:eastAsia="zh-CN"/>
        </w:rPr>
        <w:t>月30日至6月2日期间，按《佛山市教育局关于做好2026年第二次佛山市普通高中音乐等科目学业水平合格性考试报名工作的通知》要求进行缴费。</w:t>
      </w:r>
    </w:p>
    <w:p w14:paraId="401F2807">
      <w:pPr>
        <w:snapToGrid w:val="0"/>
        <w:spacing w:line="560" w:lineRule="exact"/>
        <w:ind w:right="1284" w:firstLine="640"/>
        <w:jc w:val="left"/>
        <w:rPr>
          <w:rFonts w:hint="default" w:ascii="仿宋_GB2312" w:eastAsia="仿宋_GB2312"/>
          <w:b/>
          <w:bCs/>
          <w:sz w:val="32"/>
          <w:lang w:val="en-US" w:eastAsia="zh-CN"/>
        </w:rPr>
      </w:pPr>
      <w:r>
        <w:rPr>
          <w:rFonts w:hint="eastAsia" w:ascii="仿宋_GB2312" w:eastAsia="仿宋_GB2312"/>
          <w:b/>
          <w:bCs/>
          <w:sz w:val="32"/>
          <w:lang w:val="en-US" w:eastAsia="zh-CN"/>
        </w:rPr>
        <w:t>步骤1.进入缴费页面</w:t>
      </w:r>
    </w:p>
    <w:p w14:paraId="5A0CF09C">
      <w:pPr>
        <w:snapToGrid w:val="0"/>
        <w:spacing w:line="560" w:lineRule="exact"/>
        <w:ind w:right="1284" w:firstLine="640"/>
        <w:jc w:val="left"/>
        <w:rPr>
          <w:rFonts w:hint="eastAsia" w:ascii="仿宋_GB2312" w:eastAsia="仿宋_GB2312"/>
          <w:sz w:val="32"/>
          <w:lang w:val="en-US" w:eastAsia="zh-CN"/>
        </w:rPr>
      </w:pPr>
      <w:r>
        <w:rPr>
          <w:rFonts w:hint="eastAsia" w:ascii="仿宋_GB2312" w:eastAsia="仿宋_GB2312"/>
          <w:sz w:val="32"/>
          <w:lang w:val="en-US" w:eastAsia="zh-CN"/>
        </w:rPr>
        <w:t>通过扫描二维码或打开网址，进入</w:t>
      </w:r>
      <w:r>
        <w:rPr>
          <w:rFonts w:hint="eastAsia" w:ascii="仿宋_GB2312" w:eastAsia="仿宋_GB2312"/>
          <w:sz w:val="32"/>
        </w:rPr>
        <w:t>广东公共服务支付平台</w:t>
      </w:r>
      <w:r>
        <w:rPr>
          <w:rFonts w:hint="eastAsia" w:ascii="仿宋_GB2312" w:eastAsia="仿宋_GB2312"/>
          <w:sz w:val="32"/>
          <w:lang w:val="en-US" w:eastAsia="zh-CN"/>
        </w:rPr>
        <w:t>缴费页面</w:t>
      </w:r>
    </w:p>
    <w:p w14:paraId="5EE89A8C">
      <w:pPr>
        <w:snapToGrid w:val="0"/>
        <w:spacing w:line="560" w:lineRule="exact"/>
        <w:ind w:right="1284" w:firstLine="0"/>
        <w:jc w:val="left"/>
        <w:rPr>
          <w:rFonts w:hint="eastAsia" w:ascii="仿宋_GB2312" w:eastAsia="仿宋_GB2312"/>
          <w:sz w:val="32"/>
          <w:lang w:val="en-US" w:eastAsia="zh-CN"/>
        </w:rPr>
      </w:pPr>
      <w:r>
        <w:rPr>
          <w:rFonts w:hint="eastAsia" w:ascii="仿宋_GB2312" w:eastAsia="仿宋_GB2312"/>
          <w:sz w:val="32"/>
          <w:lang w:val="en-US" w:eastAsia="zh-CN"/>
        </w:rPr>
        <w:t>网址：</w:t>
      </w:r>
      <w:bookmarkStart w:id="0" w:name="OLE_LINK3"/>
      <w:bookmarkStart w:id="1" w:name="OLE_LINK2"/>
      <w:r>
        <w:rPr>
          <w:rFonts w:hint="eastAsia" w:ascii="仿宋_GB2312" w:eastAsia="仿宋_GB2312"/>
          <w:sz w:val="32"/>
        </w:rPr>
        <w:fldChar w:fldCharType="begin"/>
      </w:r>
      <w:r>
        <w:rPr>
          <w:rFonts w:hint="eastAsia" w:ascii="仿宋_GB2312" w:eastAsia="仿宋_GB2312"/>
          <w:sz w:val="32"/>
        </w:rPr>
        <w:instrText xml:space="preserve"> HYPERLINK "http://ggzf.czt.gd.gov.cn/mobile/#/home" </w:instrText>
      </w:r>
      <w:r>
        <w:rPr>
          <w:rFonts w:hint="eastAsia" w:ascii="仿宋_GB2312" w:eastAsia="仿宋_GB2312"/>
          <w:sz w:val="32"/>
        </w:rPr>
        <w:fldChar w:fldCharType="separate"/>
      </w:r>
      <w:r>
        <w:rPr>
          <w:rStyle w:val="7"/>
          <w:rFonts w:hint="eastAsia" w:ascii="仿宋_GB2312" w:eastAsia="仿宋_GB2312"/>
          <w:sz w:val="32"/>
        </w:rPr>
        <w:t>http://ggzf.czt.gd.gov.cn/</w:t>
      </w:r>
      <w:bookmarkEnd w:id="0"/>
      <w:r>
        <w:rPr>
          <w:rStyle w:val="7"/>
          <w:rFonts w:hint="eastAsia" w:ascii="仿宋_GB2312" w:eastAsia="仿宋_GB2312"/>
          <w:sz w:val="32"/>
        </w:rPr>
        <w:t>mobile/#/home</w:t>
      </w:r>
      <w:bookmarkEnd w:id="1"/>
      <w:r>
        <w:rPr>
          <w:rFonts w:hint="eastAsia" w:ascii="仿宋_GB2312" w:eastAsia="仿宋_GB2312"/>
          <w:sz w:val="32"/>
        </w:rPr>
        <w:fldChar w:fldCharType="end"/>
      </w:r>
    </w:p>
    <w:p w14:paraId="35347FB2">
      <w:pPr>
        <w:snapToGrid w:val="0"/>
        <w:spacing w:line="560" w:lineRule="exact"/>
        <w:ind w:right="1284" w:firstLine="0"/>
        <w:jc w:val="left"/>
        <w:rPr>
          <w:rFonts w:hint="eastAsia" w:ascii="仿宋_GB2312" w:eastAsia="仿宋_GB2312"/>
          <w:sz w:val="32"/>
          <w:lang w:val="en-US" w:eastAsia="zh-CN"/>
        </w:rPr>
      </w:pPr>
      <w:r>
        <w:rPr>
          <w:rFonts w:hint="eastAsia" w:ascii="黑体" w:hAnsi="黑体" w:eastAsia="黑体" w:cs="黑体"/>
          <w:b w:val="0"/>
          <w:bCs w:val="0"/>
          <w:color w:val="auto"/>
          <w:sz w:val="32"/>
          <w:lang w:val="en-US" w:eastAsia="zh-CN"/>
        </w:rPr>
        <w:drawing>
          <wp:anchor distT="0" distB="0" distL="114300" distR="114300" simplePos="0" relativeHeight="251662336" behindDoc="0" locked="0" layoutInCell="1" allowOverlap="1">
            <wp:simplePos x="0" y="0"/>
            <wp:positionH relativeFrom="column">
              <wp:posOffset>1586230</wp:posOffset>
            </wp:positionH>
            <wp:positionV relativeFrom="paragraph">
              <wp:posOffset>152400</wp:posOffset>
            </wp:positionV>
            <wp:extent cx="1381125" cy="1381125"/>
            <wp:effectExtent l="0" t="0" r="9525" b="9525"/>
            <wp:wrapTopAndBottom/>
            <wp:docPr id="6" name="图片 2"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pic"/>
                    <pic:cNvPicPr>
                      <a:picLocks noChangeAspect="1"/>
                    </pic:cNvPicPr>
                  </pic:nvPicPr>
                  <pic:blipFill>
                    <a:blip r:embed="rId4"/>
                    <a:stretch>
                      <a:fillRect/>
                    </a:stretch>
                  </pic:blipFill>
                  <pic:spPr>
                    <a:xfrm>
                      <a:off x="0" y="0"/>
                      <a:ext cx="1381125" cy="1381125"/>
                    </a:xfrm>
                    <a:prstGeom prst="rect">
                      <a:avLst/>
                    </a:prstGeom>
                    <a:noFill/>
                    <a:ln>
                      <a:noFill/>
                    </a:ln>
                  </pic:spPr>
                </pic:pic>
              </a:graphicData>
            </a:graphic>
          </wp:anchor>
        </w:drawing>
      </w:r>
    </w:p>
    <w:p w14:paraId="126101A2">
      <w:pPr>
        <w:snapToGrid w:val="0"/>
        <w:spacing w:line="560" w:lineRule="exact"/>
        <w:ind w:right="1284" w:firstLine="640"/>
        <w:jc w:val="left"/>
        <w:rPr>
          <w:rFonts w:hint="eastAsia" w:ascii="仿宋_GB2312" w:eastAsia="仿宋_GB2312"/>
          <w:b/>
          <w:bCs/>
          <w:sz w:val="32"/>
          <w:lang w:val="en-US" w:eastAsia="zh-CN"/>
        </w:rPr>
      </w:pPr>
      <w:r>
        <w:rPr>
          <w:rFonts w:hint="eastAsia" w:ascii="仿宋_GB2312" w:eastAsia="仿宋_GB2312"/>
          <w:b/>
          <w:bCs/>
          <w:sz w:val="32"/>
          <w:lang w:val="en-US" w:eastAsia="zh-CN"/>
        </w:rPr>
        <w:t>步骤2：完成缴费</w:t>
      </w:r>
    </w:p>
    <w:p w14:paraId="0A14131E">
      <w:pPr>
        <w:snapToGrid w:val="0"/>
        <w:spacing w:line="560" w:lineRule="exact"/>
        <w:ind w:right="1284" w:firstLine="640"/>
        <w:jc w:val="left"/>
        <w:rPr>
          <w:rFonts w:hint="default" w:ascii="仿宋_GB2312" w:eastAsia="仿宋_GB2312"/>
          <w:sz w:val="32"/>
          <w:lang w:val="en-US" w:eastAsia="zh-CN"/>
        </w:rPr>
      </w:pPr>
      <w:r>
        <w:rPr>
          <w:rFonts w:hint="eastAsia" w:ascii="仿宋_GB2312" w:eastAsia="仿宋_GB2312"/>
          <w:sz w:val="32"/>
          <w:lang w:val="en-US" w:eastAsia="zh-CN"/>
        </w:rPr>
        <w:t>在缴费页面点击“其他”按钮，输入身份证号、验证码后，点击未缴费按钮、去缴费按钮，完成缴费。</w:t>
      </w:r>
    </w:p>
    <w:p w14:paraId="0A1BE3E5">
      <w:pPr>
        <w:snapToGrid w:val="0"/>
        <w:spacing w:line="560" w:lineRule="exact"/>
        <w:ind w:right="1284"/>
        <w:jc w:val="left"/>
        <w:rPr>
          <w:rFonts w:hint="default" w:ascii="仿宋_GB2312" w:hAnsi="仿宋_GB2312" w:eastAsia="仿宋_GB2312" w:cs="仿宋_GB2312"/>
          <w:sz w:val="32"/>
          <w:szCs w:val="32"/>
          <w:lang w:val="en-US" w:eastAsia="zh-CN"/>
        </w:rPr>
      </w:pPr>
      <w:r>
        <w:drawing>
          <wp:anchor distT="0" distB="0" distL="114300" distR="114300" simplePos="0" relativeHeight="251661312" behindDoc="0" locked="0" layoutInCell="1" allowOverlap="1">
            <wp:simplePos x="0" y="0"/>
            <wp:positionH relativeFrom="column">
              <wp:posOffset>3611880</wp:posOffset>
            </wp:positionH>
            <wp:positionV relativeFrom="paragraph">
              <wp:posOffset>485140</wp:posOffset>
            </wp:positionV>
            <wp:extent cx="1889125" cy="1564005"/>
            <wp:effectExtent l="0" t="0" r="15875" b="17145"/>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1889125" cy="1564005"/>
                    </a:xfrm>
                    <a:prstGeom prst="rect">
                      <a:avLst/>
                    </a:prstGeom>
                    <a:noFill/>
                    <a:ln>
                      <a:noFill/>
                    </a:ln>
                  </pic:spPr>
                </pic:pic>
              </a:graphicData>
            </a:graphic>
          </wp:anchor>
        </w:drawing>
      </w:r>
      <w:r>
        <w:rPr>
          <w:rFonts w:hint="default" w:ascii="仿宋_GB2312" w:eastAsia="仿宋_GB2312"/>
          <w:b/>
          <w:bCs/>
          <w:sz w:val="32"/>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567055</wp:posOffset>
            </wp:positionV>
            <wp:extent cx="1944370" cy="1547495"/>
            <wp:effectExtent l="0" t="0" r="17780" b="14605"/>
            <wp:wrapThrough wrapText="bothSides">
              <wp:wrapPolygon>
                <wp:start x="0" y="0"/>
                <wp:lineTo x="0" y="21272"/>
                <wp:lineTo x="21374" y="21272"/>
                <wp:lineTo x="21374" y="0"/>
                <wp:lineTo x="0" y="0"/>
              </wp:wrapPolygon>
            </wp:wrapThrough>
            <wp:docPr id="3" name="图片 4" descr="WXWorkLocal_1715151546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WXWorkLocal_17151515469170"/>
                    <pic:cNvPicPr>
                      <a:picLocks noChangeAspect="1"/>
                    </pic:cNvPicPr>
                  </pic:nvPicPr>
                  <pic:blipFill>
                    <a:blip r:embed="rId6"/>
                    <a:stretch>
                      <a:fillRect/>
                    </a:stretch>
                  </pic:blipFill>
                  <pic:spPr>
                    <a:xfrm>
                      <a:off x="0" y="0"/>
                      <a:ext cx="1944370" cy="154749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1630045</wp:posOffset>
            </wp:positionH>
            <wp:positionV relativeFrom="paragraph">
              <wp:posOffset>594995</wp:posOffset>
            </wp:positionV>
            <wp:extent cx="1727835" cy="1397000"/>
            <wp:effectExtent l="0" t="0" r="5715" b="12700"/>
            <wp:wrapTopAndBottom/>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a:stretch>
                      <a:fillRect/>
                    </a:stretch>
                  </pic:blipFill>
                  <pic:spPr>
                    <a:xfrm>
                      <a:off x="0" y="0"/>
                      <a:ext cx="1727835" cy="1397000"/>
                    </a:xfrm>
                    <a:prstGeom prst="rect">
                      <a:avLst/>
                    </a:prstGeom>
                    <a:noFill/>
                    <a:ln>
                      <a:noFill/>
                    </a:ln>
                  </pic:spPr>
                </pic:pic>
              </a:graphicData>
            </a:graphic>
          </wp:anchor>
        </w:drawing>
      </w:r>
    </w:p>
    <w:p w14:paraId="3F01FAC7">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br w:type="page"/>
      </w:r>
    </w:p>
    <w:p w14:paraId="5E610962">
      <w:pPr>
        <w:keepNext w:val="0"/>
        <w:keepLines w:val="0"/>
        <w:pageBreakBefore w:val="0"/>
        <w:kinsoku/>
        <w:wordWrap/>
        <w:overflowPunct/>
        <w:topLinePunct w:val="0"/>
        <w:autoSpaceDE/>
        <w:autoSpaceDN/>
        <w:bidi w:val="0"/>
        <w:adjustRightInd w:val="0"/>
        <w:snapToGrid w:val="0"/>
        <w:spacing w:line="560" w:lineRule="exact"/>
        <w:ind w:right="0" w:rightChars="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w:t>
      </w:r>
    </w:p>
    <w:p w14:paraId="369CA004">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2026年第二次佛山市普通高中音乐等科目学考报名表</w:t>
      </w:r>
    </w:p>
    <w:p w14:paraId="284F67B6">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（南海区社会考生）</w:t>
      </w:r>
    </w:p>
    <w:tbl>
      <w:tblPr>
        <w:tblStyle w:val="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2185"/>
        <w:gridCol w:w="1928"/>
        <w:gridCol w:w="3288"/>
      </w:tblGrid>
      <w:tr w14:paraId="4115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99" w:type="dxa"/>
            <w:vAlign w:val="center"/>
          </w:tcPr>
          <w:p w14:paraId="49984B17">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lang w:val="en-US" w:eastAsia="zh-CN"/>
              </w:rPr>
              <w:t>姓名</w:t>
            </w:r>
          </w:p>
        </w:tc>
        <w:tc>
          <w:tcPr>
            <w:tcW w:w="2185" w:type="dxa"/>
            <w:vAlign w:val="center"/>
          </w:tcPr>
          <w:p w14:paraId="2EB566C9">
            <w:pPr>
              <w:jc w:val="center"/>
              <w:rPr>
                <w:rFonts w:hint="eastAsia" w:ascii="仿宋_GB2312" w:hAnsi="仿宋_GB2312" w:eastAsia="仿宋_GB2312" w:cs="仿宋_GB2312"/>
                <w:sz w:val="32"/>
                <w:szCs w:val="32"/>
                <w:vertAlign w:val="baseline"/>
                <w:lang w:val="en-US" w:eastAsia="zh-CN"/>
              </w:rPr>
            </w:pPr>
          </w:p>
        </w:tc>
        <w:tc>
          <w:tcPr>
            <w:tcW w:w="1928" w:type="dxa"/>
            <w:vAlign w:val="center"/>
          </w:tcPr>
          <w:p w14:paraId="54F11FCD">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身份证号码</w:t>
            </w:r>
          </w:p>
        </w:tc>
        <w:tc>
          <w:tcPr>
            <w:tcW w:w="3288" w:type="dxa"/>
            <w:vAlign w:val="center"/>
          </w:tcPr>
          <w:p w14:paraId="54B49F61">
            <w:pPr>
              <w:jc w:val="center"/>
              <w:rPr>
                <w:rFonts w:hint="eastAsia" w:ascii="仿宋_GB2312" w:hAnsi="仿宋_GB2312" w:eastAsia="仿宋_GB2312" w:cs="仿宋_GB2312"/>
                <w:sz w:val="32"/>
                <w:szCs w:val="32"/>
                <w:vertAlign w:val="baseline"/>
                <w:lang w:val="en-US" w:eastAsia="zh-CN"/>
              </w:rPr>
            </w:pPr>
          </w:p>
        </w:tc>
      </w:tr>
      <w:tr w14:paraId="7A80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99" w:type="dxa"/>
            <w:vAlign w:val="center"/>
          </w:tcPr>
          <w:p w14:paraId="441DE4D2">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联系电话</w:t>
            </w:r>
          </w:p>
        </w:tc>
        <w:tc>
          <w:tcPr>
            <w:tcW w:w="2185" w:type="dxa"/>
            <w:vAlign w:val="center"/>
          </w:tcPr>
          <w:p w14:paraId="314CF20F">
            <w:pPr>
              <w:jc w:val="center"/>
              <w:rPr>
                <w:rFonts w:hint="eastAsia" w:ascii="仿宋_GB2312" w:hAnsi="仿宋_GB2312" w:eastAsia="仿宋_GB2312" w:cs="仿宋_GB2312"/>
                <w:sz w:val="32"/>
                <w:szCs w:val="32"/>
                <w:vertAlign w:val="baseline"/>
                <w:lang w:val="en-US" w:eastAsia="zh-CN"/>
              </w:rPr>
            </w:pPr>
          </w:p>
        </w:tc>
        <w:tc>
          <w:tcPr>
            <w:tcW w:w="1928" w:type="dxa"/>
            <w:vAlign w:val="center"/>
          </w:tcPr>
          <w:p w14:paraId="7B3DB65E">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性 别</w:t>
            </w:r>
          </w:p>
        </w:tc>
        <w:tc>
          <w:tcPr>
            <w:tcW w:w="3288" w:type="dxa"/>
            <w:vAlign w:val="center"/>
          </w:tcPr>
          <w:p w14:paraId="557E9B59">
            <w:pPr>
              <w:jc w:val="center"/>
              <w:rPr>
                <w:rFonts w:hint="eastAsia" w:ascii="仿宋_GB2312" w:hAnsi="仿宋_GB2312" w:eastAsia="仿宋_GB2312" w:cs="仿宋_GB2312"/>
                <w:sz w:val="32"/>
                <w:szCs w:val="32"/>
                <w:vertAlign w:val="baseline"/>
                <w:lang w:val="en-US" w:eastAsia="zh-CN"/>
              </w:rPr>
            </w:pPr>
          </w:p>
        </w:tc>
      </w:tr>
      <w:tr w14:paraId="1F85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99" w:type="dxa"/>
            <w:vAlign w:val="center"/>
          </w:tcPr>
          <w:p w14:paraId="41C1D39B">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物化生政史地</w:t>
            </w:r>
          </w:p>
          <w:p w14:paraId="1B6FF970">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24"/>
                <w:szCs w:val="24"/>
                <w:vertAlign w:val="baseline"/>
                <w:lang w:val="en-US" w:eastAsia="zh-CN"/>
              </w:rPr>
              <w:t>学考报名点</w:t>
            </w:r>
          </w:p>
        </w:tc>
        <w:tc>
          <w:tcPr>
            <w:tcW w:w="2185" w:type="dxa"/>
            <w:vAlign w:val="center"/>
          </w:tcPr>
          <w:p w14:paraId="4E306160">
            <w:pPr>
              <w:jc w:val="center"/>
              <w:rPr>
                <w:rFonts w:hint="eastAsia" w:ascii="仿宋_GB2312" w:hAnsi="仿宋_GB2312" w:eastAsia="仿宋_GB2312" w:cs="仿宋_GB2312"/>
                <w:sz w:val="32"/>
                <w:szCs w:val="32"/>
                <w:vertAlign w:val="baseline"/>
                <w:lang w:val="en-US" w:eastAsia="zh-CN"/>
              </w:rPr>
            </w:pPr>
          </w:p>
        </w:tc>
        <w:tc>
          <w:tcPr>
            <w:tcW w:w="1928" w:type="dxa"/>
            <w:vAlign w:val="center"/>
          </w:tcPr>
          <w:p w14:paraId="082FA1CD">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物化生政史地</w:t>
            </w:r>
          </w:p>
          <w:p w14:paraId="60FD6BAA">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24"/>
                <w:szCs w:val="24"/>
                <w:vertAlign w:val="baseline"/>
                <w:lang w:val="en-US" w:eastAsia="zh-CN"/>
              </w:rPr>
              <w:t>学考号</w:t>
            </w:r>
          </w:p>
        </w:tc>
        <w:tc>
          <w:tcPr>
            <w:tcW w:w="3288" w:type="dxa"/>
            <w:vAlign w:val="center"/>
          </w:tcPr>
          <w:p w14:paraId="2FF9DD1A">
            <w:pPr>
              <w:jc w:val="center"/>
              <w:rPr>
                <w:rFonts w:hint="eastAsia" w:ascii="仿宋_GB2312" w:hAnsi="仿宋_GB2312" w:eastAsia="仿宋_GB2312" w:cs="仿宋_GB2312"/>
                <w:sz w:val="32"/>
                <w:szCs w:val="32"/>
                <w:vertAlign w:val="baseline"/>
                <w:lang w:val="en-US" w:eastAsia="zh-CN"/>
              </w:rPr>
            </w:pPr>
          </w:p>
        </w:tc>
      </w:tr>
      <w:tr w14:paraId="1CF9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99" w:type="dxa"/>
            <w:vAlign w:val="center"/>
          </w:tcPr>
          <w:p w14:paraId="11D87643">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户籍地</w:t>
            </w:r>
          </w:p>
        </w:tc>
        <w:tc>
          <w:tcPr>
            <w:tcW w:w="2185" w:type="dxa"/>
            <w:vAlign w:val="center"/>
          </w:tcPr>
          <w:p w14:paraId="6BA7E300">
            <w:pPr>
              <w:jc w:val="center"/>
              <w:rPr>
                <w:rFonts w:hint="eastAsia" w:ascii="仿宋_GB2312" w:hAnsi="仿宋_GB2312" w:eastAsia="仿宋_GB2312" w:cs="仿宋_GB2312"/>
                <w:sz w:val="32"/>
                <w:szCs w:val="32"/>
                <w:vertAlign w:val="baseline"/>
                <w:lang w:val="en-US" w:eastAsia="zh-CN"/>
              </w:rPr>
            </w:pPr>
          </w:p>
        </w:tc>
        <w:tc>
          <w:tcPr>
            <w:tcW w:w="1928" w:type="dxa"/>
            <w:vAlign w:val="center"/>
          </w:tcPr>
          <w:p w14:paraId="475EFC8F">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出生日期</w:t>
            </w:r>
          </w:p>
        </w:tc>
        <w:tc>
          <w:tcPr>
            <w:tcW w:w="3288" w:type="dxa"/>
            <w:vAlign w:val="center"/>
          </w:tcPr>
          <w:p w14:paraId="060F8FE1">
            <w:pPr>
              <w:jc w:val="center"/>
              <w:rPr>
                <w:rFonts w:hint="eastAsia" w:ascii="仿宋_GB2312" w:hAnsi="仿宋_GB2312" w:eastAsia="仿宋_GB2312" w:cs="仿宋_GB2312"/>
                <w:sz w:val="32"/>
                <w:szCs w:val="32"/>
                <w:vertAlign w:val="baseline"/>
                <w:lang w:val="en-US" w:eastAsia="zh-CN"/>
              </w:rPr>
            </w:pPr>
          </w:p>
        </w:tc>
      </w:tr>
      <w:tr w14:paraId="70AE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99" w:type="dxa"/>
            <w:vAlign w:val="center"/>
          </w:tcPr>
          <w:p w14:paraId="2ABCF1C0">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现住址</w:t>
            </w:r>
          </w:p>
        </w:tc>
        <w:tc>
          <w:tcPr>
            <w:tcW w:w="7401" w:type="dxa"/>
            <w:gridSpan w:val="3"/>
            <w:vAlign w:val="center"/>
          </w:tcPr>
          <w:p w14:paraId="2516A22F">
            <w:pPr>
              <w:jc w:val="center"/>
              <w:rPr>
                <w:rFonts w:hint="eastAsia" w:ascii="仿宋_GB2312" w:hAnsi="仿宋_GB2312" w:eastAsia="仿宋_GB2312" w:cs="仿宋_GB2312"/>
                <w:sz w:val="32"/>
                <w:szCs w:val="32"/>
                <w:vertAlign w:val="baseline"/>
                <w:lang w:val="en-US" w:eastAsia="zh-CN"/>
              </w:rPr>
            </w:pPr>
          </w:p>
        </w:tc>
      </w:tr>
      <w:tr w14:paraId="3A2D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699" w:type="dxa"/>
            <w:vAlign w:val="center"/>
          </w:tcPr>
          <w:p w14:paraId="6E4D1477">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报考科目</w:t>
            </w:r>
          </w:p>
        </w:tc>
        <w:tc>
          <w:tcPr>
            <w:tcW w:w="7401" w:type="dxa"/>
            <w:gridSpan w:val="3"/>
            <w:vAlign w:val="center"/>
          </w:tcPr>
          <w:p w14:paraId="53B101FE">
            <w:p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音乐、美术、信息技术、通用技术</w:t>
            </w:r>
          </w:p>
        </w:tc>
      </w:tr>
      <w:tr w14:paraId="006C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9100" w:type="dxa"/>
            <w:gridSpan w:val="4"/>
            <w:vAlign w:val="top"/>
          </w:tcPr>
          <w:p w14:paraId="7D0FD1CF">
            <w:pPr>
              <w:wordWrap/>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1.报名成功后，需每天查看社会考生Q群(报名时由报名点学校邀请进群)信息，了解考试安排。</w:t>
            </w:r>
          </w:p>
          <w:p w14:paraId="042F1086">
            <w:pPr>
              <w:wordWrap/>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2.必须服从校园管理、考务等要求，按指定时间、地点参加考试。</w:t>
            </w:r>
          </w:p>
          <w:p w14:paraId="363B1C5E">
            <w:pPr>
              <w:wordWrap/>
              <w:jc w:val="both"/>
              <w:rPr>
                <w:rFonts w:hint="eastAsia" w:ascii="仿宋_GB2312" w:hAnsi="仿宋_GB2312" w:eastAsia="仿宋_GB2312" w:cs="仿宋_GB2312"/>
                <w:sz w:val="32"/>
                <w:szCs w:val="32"/>
                <w:vertAlign w:val="baseline"/>
                <w:lang w:val="en-US" w:eastAsia="zh-CN"/>
              </w:rPr>
            </w:pPr>
          </w:p>
          <w:p w14:paraId="5A8B79A7">
            <w:pPr>
              <w:wordWrap/>
              <w:ind w:firstLine="1920" w:firstLineChars="6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考生签名：             家长签名：           </w:t>
            </w:r>
          </w:p>
          <w:p w14:paraId="482E9A94">
            <w:pPr>
              <w:wordWrap/>
              <w:ind w:firstLine="1920" w:firstLineChars="6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日    期：             日    期：</w:t>
            </w:r>
          </w:p>
        </w:tc>
      </w:tr>
    </w:tbl>
    <w:p w14:paraId="58EE0CE5"/>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B3F87"/>
    <w:multiLevelType w:val="singleLevel"/>
    <w:tmpl w:val="321B3F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MmZiZjhiYjYzMTYwNDIyZGNlMDY0MjU0YWIzNGQifQ=="/>
  </w:docVars>
  <w:rsids>
    <w:rsidRoot w:val="121C4A95"/>
    <w:rsid w:val="013C41BC"/>
    <w:rsid w:val="0160645F"/>
    <w:rsid w:val="06E14904"/>
    <w:rsid w:val="121C4A95"/>
    <w:rsid w:val="18950986"/>
    <w:rsid w:val="1A01140D"/>
    <w:rsid w:val="1A9D50B9"/>
    <w:rsid w:val="1F0B0CD7"/>
    <w:rsid w:val="2A6F2153"/>
    <w:rsid w:val="3A4034C8"/>
    <w:rsid w:val="4A4A09C3"/>
    <w:rsid w:val="4F804B63"/>
    <w:rsid w:val="501957C9"/>
    <w:rsid w:val="544D0DCD"/>
    <w:rsid w:val="546926EB"/>
    <w:rsid w:val="5A89716A"/>
    <w:rsid w:val="6CF91B82"/>
    <w:rsid w:val="701526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qFormat/>
    <w:uiPriority w:val="0"/>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755</Words>
  <Characters>885</Characters>
  <Lines>0</Lines>
  <Paragraphs>0</Paragraphs>
  <TotalTime>2</TotalTime>
  <ScaleCrop>false</ScaleCrop>
  <LinksUpToDate>false</LinksUpToDate>
  <CharactersWithSpaces>932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2024-03-06T08:45:00Z</dcterms:created>
  <dc:creator>Wing</dc:creator>
  <cp:lastModifiedBy>奔跑的考拉</cp:lastModifiedBy>
  <dcterms:modified xsi:type="dcterms:W3CDTF">2026-05-25T08:55:00Z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1F83155701B846AC9A6C99D682B6D7F9_11</vt:lpwstr>
  </property>
  <property fmtid="{D5CDD505-2E9C-101B-9397-08002B2CF9AE}" pid="4" name="KSOTemplateDocerSaveRecord">
    <vt:lpwstr>eyJoZGlkIjoiYzA3NmNjZGNhMzcwNzRjMjQ3NDQ3Y2Y1MDAwNzQyNTIiLCJ1c2VySWQiOiIzNzM1NDkwOTMifQ==</vt:lpwstr>
  </property>
</Properties>
</file>