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1592" w:tblpY="2094"/>
        <w:tblW w:w="0" w:type="auto"/>
        <w:tblInd w:w="0" w:type="dxa"/>
        <w:tblLayout w:type="fixed"/>
        <w:tblCellMar>
          <w:top w:w="0" w:type="dxa"/>
          <w:left w:w="108" w:type="dxa"/>
          <w:bottom w:w="0" w:type="dxa"/>
          <w:right w:w="108" w:type="dxa"/>
        </w:tblCellMar>
      </w:tblPr>
      <w:tblGrid>
        <w:gridCol w:w="4530"/>
        <w:gridCol w:w="4530"/>
      </w:tblGrid>
      <w:tr>
        <w:tblPrEx>
          <w:tblCellMar>
            <w:top w:w="0" w:type="dxa"/>
            <w:left w:w="108" w:type="dxa"/>
            <w:bottom w:w="0" w:type="dxa"/>
            <w:right w:w="108" w:type="dxa"/>
          </w:tblCellMar>
        </w:tblPrEx>
        <w:tc>
          <w:tcPr>
            <w:tcW w:w="4530" w:type="dxa"/>
            <w:noWrap w:val="0"/>
            <w:vAlign w:val="top"/>
          </w:tcPr>
          <w:p>
            <w:pPr>
              <w:snapToGrid w:val="0"/>
              <w:spacing w:line="560" w:lineRule="exact"/>
              <w:jc w:val="left"/>
              <w:rPr>
                <w:rFonts w:ascii="黑体" w:eastAsia="黑体"/>
                <w:sz w:val="32"/>
              </w:rPr>
            </w:pPr>
            <w:r>
              <w:rPr>
                <w:rFonts w:hint="eastAsia" w:ascii="黑体" w:eastAsia="黑体"/>
                <w:sz w:val="32"/>
              </w:rPr>
              <w:t>主动公开</w:t>
            </w:r>
          </w:p>
        </w:tc>
        <w:tc>
          <w:tcPr>
            <w:tcW w:w="4530" w:type="dxa"/>
            <w:noWrap w:val="0"/>
            <w:vAlign w:val="top"/>
          </w:tcPr>
          <w:p>
            <w:pPr>
              <w:snapToGrid w:val="0"/>
              <w:spacing w:line="560" w:lineRule="exact"/>
              <w:jc w:val="right"/>
              <w:rPr>
                <w:rFonts w:hint="eastAsia" w:ascii="黑体" w:eastAsia="黑体"/>
                <w:sz w:val="32"/>
              </w:rPr>
            </w:pPr>
          </w:p>
        </w:tc>
      </w:tr>
      <w:tr>
        <w:tblPrEx>
          <w:tblCellMar>
            <w:top w:w="0" w:type="dxa"/>
            <w:left w:w="108" w:type="dxa"/>
            <w:bottom w:w="0" w:type="dxa"/>
            <w:right w:w="108" w:type="dxa"/>
          </w:tblCellMar>
        </w:tblPrEx>
        <w:tc>
          <w:tcPr>
            <w:tcW w:w="4530" w:type="dxa"/>
            <w:noWrap w:val="0"/>
            <w:vAlign w:val="top"/>
          </w:tcPr>
          <w:p>
            <w:pPr>
              <w:snapToGrid w:val="0"/>
              <w:spacing w:line="560" w:lineRule="exact"/>
              <w:jc w:val="left"/>
              <w:rPr>
                <w:rFonts w:ascii="黑体" w:eastAsia="黑体"/>
                <w:color w:val="FFFFFF"/>
                <w:sz w:val="32"/>
              </w:rPr>
            </w:pPr>
          </w:p>
        </w:tc>
        <w:tc>
          <w:tcPr>
            <w:tcW w:w="4530" w:type="dxa"/>
            <w:noWrap w:val="0"/>
            <w:vAlign w:val="top"/>
          </w:tcPr>
          <w:p>
            <w:pPr>
              <w:wordWrap w:val="0"/>
              <w:snapToGrid w:val="0"/>
              <w:spacing w:line="560" w:lineRule="exact"/>
              <w:jc w:val="right"/>
              <w:rPr>
                <w:rFonts w:hint="eastAsia" w:ascii="黑体" w:eastAsia="黑体"/>
                <w:sz w:val="32"/>
              </w:rPr>
            </w:pPr>
          </w:p>
        </w:tc>
      </w:tr>
      <w:tr>
        <w:tblPrEx>
          <w:tblCellMar>
            <w:top w:w="0" w:type="dxa"/>
            <w:left w:w="108" w:type="dxa"/>
            <w:bottom w:w="0" w:type="dxa"/>
            <w:right w:w="108" w:type="dxa"/>
          </w:tblCellMar>
        </w:tblPrEx>
        <w:tc>
          <w:tcPr>
            <w:tcW w:w="4530" w:type="dxa"/>
            <w:noWrap w:val="0"/>
            <w:vAlign w:val="top"/>
          </w:tcPr>
          <w:p>
            <w:pPr>
              <w:snapToGrid w:val="0"/>
              <w:spacing w:line="560" w:lineRule="exact"/>
              <w:jc w:val="left"/>
              <w:rPr>
                <w:rFonts w:ascii="黑体" w:eastAsia="黑体"/>
                <w:sz w:val="32"/>
              </w:rPr>
            </w:pPr>
          </w:p>
        </w:tc>
        <w:tc>
          <w:tcPr>
            <w:tcW w:w="4530" w:type="dxa"/>
            <w:noWrap w:val="0"/>
            <w:vAlign w:val="top"/>
          </w:tcPr>
          <w:p>
            <w:pPr>
              <w:snapToGrid w:val="0"/>
              <w:spacing w:line="560" w:lineRule="exact"/>
              <w:jc w:val="right"/>
              <w:rPr>
                <w:rFonts w:hint="eastAsia" w:ascii="黑体" w:eastAsia="黑体"/>
                <w:sz w:val="32"/>
              </w:rPr>
            </w:pPr>
          </w:p>
        </w:tc>
      </w:tr>
    </w:tbl>
    <w:p>
      <w:pPr>
        <w:snapToGrid w:val="0"/>
        <w:spacing w:line="560" w:lineRule="exact"/>
        <w:jc w:val="center"/>
        <w:rPr>
          <w:rFonts w:hint="eastAsia" w:ascii="仿宋_GB2312" w:eastAsia="仿宋_GB2312"/>
          <w:sz w:val="32"/>
        </w:rPr>
      </w:pPr>
      <w:bookmarkStart w:id="0" w:name="_GoBack"/>
      <w:bookmarkEnd w:id="0"/>
      <w:r>
        <w:rPr>
          <w:rFonts w:ascii="标宋体" w:eastAsia="标宋体"/>
          <w:sz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ge">
                  <wp:posOffset>2583180</wp:posOffset>
                </wp:positionV>
                <wp:extent cx="5600700" cy="661035"/>
                <wp:effectExtent l="0" t="0" r="0" b="5715"/>
                <wp:wrapTopAndBottom/>
                <wp:docPr id="2" name="文本框 16"/>
                <wp:cNvGraphicFramePr/>
                <a:graphic xmlns:a="http://schemas.openxmlformats.org/drawingml/2006/main">
                  <a:graphicData uri="http://schemas.microsoft.com/office/word/2010/wordprocessingShape">
                    <wps:wsp>
                      <wps:cNvSpPr txBox="1"/>
                      <wps:spPr>
                        <a:xfrm>
                          <a:off x="0" y="0"/>
                          <a:ext cx="5600700" cy="661035"/>
                        </a:xfrm>
                        <a:prstGeom prst="rect">
                          <a:avLst/>
                        </a:prstGeom>
                        <a:solidFill>
                          <a:srgbClr val="FFFFFF"/>
                        </a:solidFill>
                        <a:ln>
                          <a:noFill/>
                        </a:ln>
                      </wps:spPr>
                      <wps:txbx>
                        <w:txbxContent>
                          <w:p>
                            <w:pPr>
                              <w:spacing w:line="980" w:lineRule="exact"/>
                              <w:jc w:val="distribute"/>
                              <w:rPr>
                                <w:rFonts w:hint="eastAsia" w:ascii="方正小标宋简体" w:hAnsi="华文中宋" w:eastAsia="方正小标宋简体"/>
                                <w:color w:val="FF0000"/>
                              </w:rPr>
                            </w:pPr>
                            <w:r>
                              <w:rPr>
                                <w:rFonts w:hint="eastAsia" w:ascii="方正小标宋简体" w:hAnsi="方正小标宋简体" w:eastAsia="方正小标宋简体"/>
                                <w:color w:val="FF0000"/>
                                <w:sz w:val="84"/>
                                <w:szCs w:val="44"/>
                              </w:rPr>
                              <w:t>佛山市教育局</w:t>
                            </w:r>
                            <w:r>
                              <w:rPr>
                                <w:rFonts w:hint="eastAsia" w:ascii="方正小标宋简体" w:hAnsi="华文中宋" w:eastAsia="方正小标宋简体"/>
                                <w:color w:val="FF0000"/>
                                <w:sz w:val="84"/>
                              </w:rPr>
                              <w:t>文件</w:t>
                            </w:r>
                          </w:p>
                        </w:txbxContent>
                      </wps:txbx>
                      <wps:bodyPr wrap="square" lIns="91440" tIns="0" rIns="91440" bIns="0" upright="1"/>
                    </wps:wsp>
                  </a:graphicData>
                </a:graphic>
              </wp:anchor>
            </w:drawing>
          </mc:Choice>
          <mc:Fallback>
            <w:pict>
              <v:shape id="文本框 16" o:spid="_x0000_s1026" o:spt="202" type="#_x0000_t202" style="position:absolute;left:0pt;margin-left:0pt;margin-top:203.4pt;height:52.05pt;width:441pt;mso-position-vertical-relative:page;mso-wrap-distance-bottom:0pt;mso-wrap-distance-top:0pt;z-index:251661312;mso-width-relative:page;mso-height-relative:page;" fillcolor="#FFFFFF" filled="t" stroked="f" coordsize="21600,21600" o:gfxdata="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HYww7WAAAACAEAAA8AAAAAAAAAAQAgAAAAOAAAAGRycy9kb3ducmV2LnhtbFBLAQIUABQA&#10;AAAIAIdO4kBI+o/h3AEAALIDAAAOAAAAAAAAAAEAIAAAADsBAABkcnMvZTJvRG9jLnhtbFBLBQYA&#10;AAAABgAGAFkBAACJBQAAAAA=&#10;">
                <v:fill on="t" focussize="0,0"/>
                <v:stroke on="f"/>
                <v:imagedata o:title=""/>
                <o:lock v:ext="edit" aspectratio="f"/>
                <v:textbox inset="2.54mm,0mm,2.54mm,0mm">
                  <w:txbxContent>
                    <w:p>
                      <w:pPr>
                        <w:spacing w:line="980" w:lineRule="exact"/>
                        <w:jc w:val="distribute"/>
                        <w:rPr>
                          <w:rFonts w:hint="eastAsia" w:ascii="方正小标宋简体" w:hAnsi="华文中宋" w:eastAsia="方正小标宋简体"/>
                          <w:color w:val="FF0000"/>
                        </w:rPr>
                      </w:pPr>
                      <w:r>
                        <w:rPr>
                          <w:rFonts w:hint="eastAsia" w:ascii="方正小标宋简体" w:hAnsi="方正小标宋简体" w:eastAsia="方正小标宋简体"/>
                          <w:color w:val="FF0000"/>
                          <w:sz w:val="84"/>
                          <w:szCs w:val="44"/>
                        </w:rPr>
                        <w:t>佛山市教育局</w:t>
                      </w:r>
                      <w:r>
                        <w:rPr>
                          <w:rFonts w:hint="eastAsia" w:ascii="方正小标宋简体" w:hAnsi="华文中宋" w:eastAsia="方正小标宋简体"/>
                          <w:color w:val="FF0000"/>
                          <w:sz w:val="84"/>
                        </w:rPr>
                        <w:t>文件</w:t>
                      </w:r>
                    </w:p>
                  </w:txbxContent>
                </v:textbox>
                <w10:wrap type="topAndBottom"/>
              </v:shape>
            </w:pict>
          </mc:Fallback>
        </mc:AlternateContent>
      </w:r>
    </w:p>
    <w:p>
      <w:pPr>
        <w:snapToGrid w:val="0"/>
        <w:spacing w:line="560" w:lineRule="exact"/>
        <w:jc w:val="center"/>
        <w:rPr>
          <w:rFonts w:hint="eastAsia" w:ascii="仿宋_GB2312" w:eastAsia="仿宋_GB2312"/>
          <w:sz w:val="32"/>
        </w:rPr>
      </w:pPr>
    </w:p>
    <w:p>
      <w:pPr>
        <w:ind w:firstLine="320" w:firstLineChars="100"/>
        <w:jc w:val="center"/>
        <w:rPr>
          <w:rFonts w:hint="eastAsia" w:ascii="仿宋_GB2312" w:eastAsia="仿宋_GB2312"/>
          <w:bCs/>
          <w:sz w:val="32"/>
        </w:rPr>
      </w:pPr>
      <w:r>
        <w:rPr>
          <w:rFonts w:hint="eastAsia" w:ascii="仿宋_GB2312" w:eastAsia="仿宋_GB2312"/>
          <w:bCs/>
          <w:sz w:val="32"/>
        </w:rPr>
        <w:t>佛山教招〔202</w:t>
      </w:r>
      <w:r>
        <w:rPr>
          <w:rFonts w:hint="eastAsia" w:ascii="仿宋_GB2312" w:eastAsia="仿宋_GB2312"/>
          <w:bCs/>
          <w:sz w:val="32"/>
          <w:lang w:val="en-US" w:eastAsia="zh-CN"/>
        </w:rPr>
        <w:t>5</w:t>
      </w:r>
      <w:r>
        <w:rPr>
          <w:rFonts w:hint="eastAsia" w:ascii="仿宋_GB2312" w:eastAsia="仿宋_GB2312"/>
          <w:bCs/>
          <w:sz w:val="32"/>
        </w:rPr>
        <w:t>〕</w:t>
      </w:r>
      <w:r>
        <w:rPr>
          <w:rFonts w:hint="eastAsia" w:ascii="仿宋_GB2312" w:eastAsia="仿宋_GB2312"/>
          <w:bCs/>
          <w:sz w:val="32"/>
          <w:lang w:val="en-US" w:eastAsia="zh-CN"/>
        </w:rPr>
        <w:t>2</w:t>
      </w:r>
      <w:r>
        <w:rPr>
          <w:rFonts w:hint="eastAsia" w:ascii="仿宋_GB2312" w:eastAsia="仿宋_GB2312"/>
          <w:bCs/>
          <w:sz w:val="32"/>
        </w:rPr>
        <w:t>号</w:t>
      </w:r>
    </w:p>
    <w:p>
      <w:pPr>
        <w:snapToGrid w:val="0"/>
        <w:spacing w:line="560" w:lineRule="exact"/>
        <w:jc w:val="center"/>
        <w:rPr>
          <w:rFonts w:hint="eastAsia" w:ascii="仿宋_GB2312" w:eastAsia="仿宋_GB2312"/>
          <w:sz w:val="32"/>
          <w:szCs w:val="32"/>
        </w:rPr>
      </w:pPr>
      <w:r>
        <w:rPr>
          <w:rFonts w:hint="eastAsia" w:ascii="仿宋_GB2312" w:eastAsia="仿宋_GB2312"/>
          <w:sz w:val="32"/>
          <w:szCs w:val="32"/>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32385</wp:posOffset>
                </wp:positionV>
                <wp:extent cx="5579745" cy="0"/>
                <wp:effectExtent l="0" t="0" r="0" b="0"/>
                <wp:wrapNone/>
                <wp:docPr id="1" name="直线 17"/>
                <wp:cNvGraphicFramePr/>
                <a:graphic xmlns:a="http://schemas.openxmlformats.org/drawingml/2006/main">
                  <a:graphicData uri="http://schemas.microsoft.com/office/word/2010/wordprocessingShape">
                    <wps:wsp>
                      <wps:cNvCnPr/>
                      <wps:spPr>
                        <a:xfrm>
                          <a:off x="0" y="0"/>
                          <a:ext cx="5579745" cy="0"/>
                        </a:xfrm>
                        <a:prstGeom prst="line">
                          <a:avLst/>
                        </a:prstGeom>
                        <a:ln w="9525" cap="flat" cmpd="sng">
                          <a:solidFill>
                            <a:srgbClr val="FF0000"/>
                          </a:solidFill>
                          <a:prstDash val="solid"/>
                          <a:headEnd type="none" w="med" len="med"/>
                          <a:tailEnd type="none" w="med" len="med"/>
                        </a:ln>
                      </wps:spPr>
                      <wps:bodyPr upright="1"/>
                    </wps:wsp>
                  </a:graphicData>
                </a:graphic>
              </wp:anchor>
            </w:drawing>
          </mc:Choice>
          <mc:Fallback>
            <w:pict>
              <v:line id="直线 17" o:spid="_x0000_s1026" o:spt="20" style="position:absolute;left:0pt;margin-left:0pt;margin-top:2.55pt;height:0pt;width:439.35pt;z-index:251660288;mso-width-relative:page;mso-height-relative:page;" filled="f" stroked="t" coordsize="21600,21600" o:allowincell="f" o:gfxdata="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BbtSO7TAAAABAEAAA8AAAAAAAAAAQAgAAAAOAAAAGRycy9kb3ducmV2&#10;LnhtbFBLAQIUABQAAAAIAIdO4kD24QwU6wEAANwDAAAOAAAAAAAAAAEAIAAAADgBAABkcnMvZTJv&#10;RG9jLnhtbFBLBQYAAAAABgAGAFkBAACVBQAAAAA=&#10;">
                <v:fill on="f" focussize="0,0"/>
                <v:stroke color="#FF0000" joinstyle="round"/>
                <v:imagedata o:title=""/>
                <o:lock v:ext="edit" aspectratio="f"/>
              </v:line>
            </w:pict>
          </mc:Fallback>
        </mc:AlternateContent>
      </w:r>
    </w:p>
    <w:p>
      <w:pPr>
        <w:spacing w:line="560" w:lineRule="exact"/>
        <w:jc w:val="center"/>
        <w:rPr>
          <w:rFonts w:hint="eastAsia" w:ascii="方正小标宋简体" w:eastAsia="方正小标宋简体"/>
          <w:sz w:val="32"/>
          <w:szCs w:val="32"/>
        </w:rPr>
      </w:pPr>
    </w:p>
    <w:p>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rPr>
        <w:t>佛山市教育局关于印发佛山市202</w:t>
      </w:r>
      <w:r>
        <w:rPr>
          <w:rFonts w:hint="eastAsia" w:ascii="方正小标宋简体" w:eastAsia="方正小标宋简体"/>
          <w:sz w:val="44"/>
          <w:szCs w:val="44"/>
          <w:lang w:val="en-US" w:eastAsia="zh-CN"/>
        </w:rPr>
        <w:t>5</w:t>
      </w:r>
      <w:r>
        <w:rPr>
          <w:rFonts w:hint="eastAsia" w:ascii="方正小标宋简体" w:eastAsia="方正小标宋简体"/>
          <w:sz w:val="44"/>
          <w:szCs w:val="44"/>
        </w:rPr>
        <w:t>年高中</w:t>
      </w:r>
    </w:p>
    <w:p>
      <w:pPr>
        <w:spacing w:line="660" w:lineRule="exact"/>
        <w:jc w:val="center"/>
        <w:rPr>
          <w:rFonts w:ascii="方正小标宋简体" w:eastAsia="方正小标宋简体"/>
          <w:sz w:val="44"/>
          <w:szCs w:val="44"/>
        </w:rPr>
      </w:pPr>
      <w:r>
        <w:rPr>
          <w:rFonts w:hint="eastAsia" w:ascii="方正小标宋简体" w:eastAsia="方正小标宋简体"/>
          <w:sz w:val="44"/>
          <w:szCs w:val="44"/>
        </w:rPr>
        <w:t>阶段学校招生考试工作意见的通知</w:t>
      </w:r>
    </w:p>
    <w:p>
      <w:pPr>
        <w:snapToGrid w:val="0"/>
        <w:spacing w:line="560" w:lineRule="exact"/>
        <w:jc w:val="center"/>
        <w:rPr>
          <w:rFonts w:hint="eastAsia" w:ascii="仿宋_GB2312" w:eastAsia="仿宋_GB2312"/>
          <w:sz w:val="32"/>
        </w:rPr>
      </w:pPr>
    </w:p>
    <w:p>
      <w:pPr>
        <w:spacing w:line="560" w:lineRule="exact"/>
        <w:rPr>
          <w:rFonts w:hint="eastAsia" w:ascii="仿宋_GB2312" w:eastAsia="仿宋_GB2312"/>
          <w:sz w:val="32"/>
          <w:szCs w:val="32"/>
        </w:rPr>
      </w:pPr>
      <w:r>
        <w:rPr>
          <w:rFonts w:hint="eastAsia" w:ascii="仿宋_GB2312" w:eastAsia="仿宋_GB2312"/>
          <w:sz w:val="32"/>
          <w:szCs w:val="32"/>
        </w:rPr>
        <w:t>各区教育局，市直属有关学校：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《佛山市202</w:t>
      </w:r>
      <w:r>
        <w:rPr>
          <w:rFonts w:hint="eastAsia" w:ascii="仿宋_GB2312" w:eastAsia="仿宋_GB2312"/>
          <w:sz w:val="32"/>
          <w:szCs w:val="32"/>
          <w:lang w:val="en-US" w:eastAsia="zh-CN"/>
        </w:rPr>
        <w:t>5</w:t>
      </w:r>
      <w:r>
        <w:rPr>
          <w:rFonts w:hint="eastAsia" w:ascii="仿宋_GB2312" w:eastAsia="仿宋_GB2312"/>
          <w:sz w:val="32"/>
          <w:szCs w:val="32"/>
        </w:rPr>
        <w:t>年高中阶段学校招生考试工作意见》经市政府同意，现印发给你们，请认真贯彻执行</w:t>
      </w:r>
      <w:r>
        <w:rPr>
          <w:rFonts w:hint="eastAsia" w:ascii="仿宋_GB2312" w:eastAsia="仿宋_GB2312"/>
          <w:sz w:val="32"/>
          <w:szCs w:val="32"/>
          <w:lang w:eastAsia="zh-CN"/>
        </w:rPr>
        <w:t>。</w:t>
      </w:r>
      <w:r>
        <w:rPr>
          <w:rFonts w:hint="eastAsia" w:ascii="仿宋_GB2312" w:eastAsia="仿宋_GB2312"/>
          <w:sz w:val="32"/>
          <w:szCs w:val="32"/>
        </w:rPr>
        <w:t>在贯彻执行过程中有何意见或建议，</w:t>
      </w:r>
      <w:r>
        <w:rPr>
          <w:rFonts w:hint="eastAsia" w:ascii="仿宋_GB2312" w:eastAsia="仿宋_GB2312"/>
          <w:sz w:val="32"/>
          <w:szCs w:val="32"/>
          <w:lang w:eastAsia="zh-CN"/>
        </w:rPr>
        <w:t>请径向</w:t>
      </w:r>
      <w:r>
        <w:rPr>
          <w:rFonts w:hint="eastAsia" w:ascii="仿宋_GB2312" w:eastAsia="仿宋_GB2312"/>
          <w:sz w:val="32"/>
          <w:szCs w:val="32"/>
        </w:rPr>
        <w:t>市</w:t>
      </w:r>
      <w:r>
        <w:rPr>
          <w:rFonts w:hint="eastAsia" w:ascii="仿宋_GB2312" w:eastAsia="仿宋_GB2312"/>
          <w:sz w:val="32"/>
          <w:szCs w:val="32"/>
          <w:lang w:eastAsia="zh-CN"/>
        </w:rPr>
        <w:t>教育局</w:t>
      </w:r>
      <w:r>
        <w:rPr>
          <w:rFonts w:hint="eastAsia" w:ascii="仿宋_GB2312" w:eastAsia="仿宋_GB2312"/>
          <w:sz w:val="32"/>
          <w:szCs w:val="32"/>
        </w:rPr>
        <w:t>反映。</w:t>
      </w:r>
    </w:p>
    <w:p>
      <w:pPr>
        <w:snapToGrid/>
        <w:spacing w:line="560" w:lineRule="exact"/>
        <w:rPr>
          <w:rFonts w:hint="default"/>
          <w:sz w:val="32"/>
          <w:szCs w:val="32"/>
        </w:rPr>
      </w:pPr>
    </w:p>
    <w:p>
      <w:pPr>
        <w:snapToGrid w:val="0"/>
        <w:spacing w:line="560" w:lineRule="exact"/>
        <w:rPr>
          <w:rFonts w:hint="default" w:ascii="仿宋_GB2312" w:hAnsi="Times New Roman" w:eastAsia="仿宋_GB2312" w:cs="Times New Roman"/>
          <w:spacing w:val="-6"/>
          <w:sz w:val="32"/>
          <w:szCs w:val="32"/>
        </w:rPr>
      </w:pPr>
    </w:p>
    <w:p>
      <w:pPr>
        <w:snapToGrid w:val="0"/>
        <w:spacing w:line="560" w:lineRule="exact"/>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hAnsi="宋体" w:eastAsia="仿宋_GB2312"/>
          <w:sz w:val="32"/>
          <w:szCs w:val="32"/>
        </w:rPr>
        <w:t>佛山市教育局</w:t>
      </w:r>
    </w:p>
    <w:p>
      <w:pPr>
        <w:snapToGrid w:val="0"/>
        <w:spacing w:line="560" w:lineRule="exact"/>
        <w:ind w:right="1284" w:firstLine="0" w:firstLineChars="0"/>
        <w:jc w:val="right"/>
        <w:rPr>
          <w:rFonts w:hint="eastAsia" w:ascii="仿宋_GB2312" w:hAnsi="Times New Roman" w:eastAsia="仿宋_GB2312" w:cs="Times New Roman"/>
          <w:sz w:val="32"/>
          <w:szCs w:val="24"/>
        </w:rPr>
      </w:pPr>
      <w:r>
        <w:rPr>
          <w:rFonts w:hint="eastAsia" w:ascii="仿宋_GB2312" w:hAnsi="Times New Roman" w:eastAsia="仿宋_GB2312" w:cs="Times New Roman"/>
          <w:sz w:val="32"/>
          <w:szCs w:val="24"/>
        </w:rPr>
        <w:t>202</w:t>
      </w:r>
      <w:r>
        <w:rPr>
          <w:rFonts w:hint="eastAsia" w:ascii="仿宋_GB2312" w:hAnsi="Times New Roman" w:eastAsia="仿宋_GB2312" w:cs="Times New Roman"/>
          <w:sz w:val="32"/>
          <w:szCs w:val="24"/>
          <w:lang w:val="en-US" w:eastAsia="zh-CN"/>
        </w:rPr>
        <w:t>5</w:t>
      </w:r>
      <w:r>
        <w:rPr>
          <w:rFonts w:hint="eastAsia" w:ascii="仿宋_GB2312" w:hAnsi="Times New Roman" w:eastAsia="仿宋_GB2312" w:cs="Times New Roman"/>
          <w:sz w:val="32"/>
          <w:szCs w:val="24"/>
        </w:rPr>
        <w:t>年</w:t>
      </w:r>
      <w:r>
        <w:rPr>
          <w:rFonts w:hint="eastAsia" w:ascii="仿宋_GB2312" w:hAnsi="Times New Roman" w:eastAsia="仿宋_GB2312" w:cs="Times New Roman"/>
          <w:sz w:val="32"/>
          <w:szCs w:val="24"/>
          <w:lang w:val="en-US" w:eastAsia="zh-CN"/>
        </w:rPr>
        <w:t>2</w:t>
      </w:r>
      <w:r>
        <w:rPr>
          <w:rFonts w:hint="eastAsia" w:ascii="仿宋_GB2312" w:hAnsi="Times New Roman" w:eastAsia="仿宋_GB2312" w:cs="Times New Roman"/>
          <w:sz w:val="32"/>
          <w:szCs w:val="24"/>
        </w:rPr>
        <w:t>月</w:t>
      </w:r>
      <w:r>
        <w:rPr>
          <w:rFonts w:hint="eastAsia" w:ascii="仿宋_GB2312" w:hAnsi="Times New Roman" w:eastAsia="仿宋_GB2312" w:cs="Times New Roman"/>
          <w:sz w:val="32"/>
          <w:szCs w:val="24"/>
          <w:lang w:val="en-US" w:eastAsia="zh-CN"/>
        </w:rPr>
        <w:t>25</w:t>
      </w:r>
      <w:r>
        <w:rPr>
          <w:rFonts w:hint="eastAsia" w:ascii="仿宋_GB2312" w:hAnsi="Times New Roman" w:eastAsia="仿宋_GB2312" w:cs="Times New Roman"/>
          <w:sz w:val="32"/>
          <w:szCs w:val="24"/>
        </w:rPr>
        <w:t>日</w:t>
      </w:r>
    </w:p>
    <w:p>
      <w:pPr>
        <w:spacing w:line="660" w:lineRule="exact"/>
        <w:jc w:val="center"/>
        <w:rPr>
          <w:rFonts w:hint="eastAsia" w:ascii="方正小标宋简体" w:hAnsi="方正小标宋简体" w:eastAsia="方正小标宋简体"/>
          <w:b w:val="0"/>
          <w:bCs w:val="0"/>
          <w:sz w:val="44"/>
          <w:szCs w:val="32"/>
          <w:u w:val="none"/>
        </w:rPr>
      </w:pPr>
      <w:r>
        <w:rPr>
          <w:rFonts w:hint="eastAsia" w:ascii="方正小标宋简体" w:hAnsi="方正小标宋简体" w:eastAsia="方正小标宋简体"/>
          <w:b w:val="0"/>
          <w:bCs w:val="0"/>
          <w:sz w:val="44"/>
          <w:szCs w:val="32"/>
          <w:u w:val="none"/>
        </w:rPr>
        <w:t>佛山市202</w:t>
      </w:r>
      <w:r>
        <w:rPr>
          <w:rFonts w:hint="eastAsia" w:ascii="方正小标宋简体" w:hAnsi="方正小标宋简体" w:eastAsia="方正小标宋简体"/>
          <w:b w:val="0"/>
          <w:bCs w:val="0"/>
          <w:sz w:val="44"/>
          <w:szCs w:val="32"/>
          <w:u w:val="none"/>
          <w:lang w:val="en-US" w:eastAsia="zh-CN"/>
        </w:rPr>
        <w:t>5</w:t>
      </w:r>
      <w:r>
        <w:rPr>
          <w:rFonts w:hint="eastAsia" w:ascii="方正小标宋简体" w:hAnsi="方正小标宋简体" w:eastAsia="方正小标宋简体"/>
          <w:b w:val="0"/>
          <w:bCs w:val="0"/>
          <w:sz w:val="44"/>
          <w:szCs w:val="32"/>
          <w:u w:val="none"/>
        </w:rPr>
        <w:t>年高中阶段学校招生考试</w:t>
      </w:r>
    </w:p>
    <w:p>
      <w:pPr>
        <w:spacing w:line="660" w:lineRule="exact"/>
        <w:jc w:val="center"/>
        <w:rPr>
          <w:rFonts w:hint="eastAsia" w:ascii="方正小标宋简体" w:hAnsi="方正小标宋简体" w:eastAsia="方正小标宋简体"/>
          <w:b w:val="0"/>
          <w:bCs w:val="0"/>
          <w:sz w:val="44"/>
          <w:szCs w:val="32"/>
          <w:u w:val="none"/>
        </w:rPr>
      </w:pPr>
      <w:r>
        <w:rPr>
          <w:rFonts w:hint="eastAsia" w:ascii="方正小标宋简体" w:hAnsi="方正小标宋简体" w:eastAsia="方正小标宋简体"/>
          <w:b w:val="0"/>
          <w:bCs w:val="0"/>
          <w:sz w:val="44"/>
          <w:szCs w:val="32"/>
          <w:u w:val="none"/>
        </w:rPr>
        <w:t>工作意见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eastAsia="仿宋_GB2312"/>
          <w:b w:val="0"/>
          <w:bCs w:val="0"/>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eastAsia="zh-CN"/>
        </w:rPr>
        <w:t>根据《深化新时代教育评价改革总体方案》《国务院关于深化考试招生制度改革的实施意见》《广东省教育厅关于深化高中阶段学校考试招生制度改革的实施意见》以及《佛山市教育局关于进一步推进我市高中阶段学校考试招生制度改革的实施意见》等文件精神，</w:t>
      </w:r>
      <w:r>
        <w:rPr>
          <w:rFonts w:hint="eastAsia" w:ascii="仿宋_GB2312" w:hAnsi="Calibri" w:eastAsia="仿宋_GB2312" w:cs="Times New Roman"/>
          <w:b w:val="0"/>
          <w:bCs w:val="0"/>
          <w:color w:val="auto"/>
          <w:sz w:val="32"/>
          <w:szCs w:val="32"/>
          <w:u w:val="none"/>
          <w:lang w:val="en-US" w:eastAsia="zh-CN"/>
        </w:rPr>
        <w:t>为</w:t>
      </w:r>
      <w:r>
        <w:rPr>
          <w:rFonts w:hint="eastAsia" w:ascii="仿宋_GB2312" w:hAnsi="Calibri" w:eastAsia="仿宋_GB2312" w:cs="Times New Roman"/>
          <w:b w:val="0"/>
          <w:bCs w:val="0"/>
          <w:color w:val="auto"/>
          <w:sz w:val="32"/>
          <w:szCs w:val="32"/>
          <w:u w:val="none"/>
          <w:lang w:eastAsia="zh-CN"/>
        </w:rPr>
        <w:t>全面贯彻党的教育方针，深入推进我市初中毕业生学业水平考试与高中阶段学校招生考试改革，着力构建佛山“五好”教育新形态，确保202</w:t>
      </w:r>
      <w:r>
        <w:rPr>
          <w:rFonts w:hint="eastAsia" w:ascii="仿宋_GB2312" w:hAnsi="Calibri" w:eastAsia="仿宋_GB2312" w:cs="Times New Roman"/>
          <w:b w:val="0"/>
          <w:bCs w:val="0"/>
          <w:color w:val="auto"/>
          <w:sz w:val="32"/>
          <w:szCs w:val="32"/>
          <w:u w:val="none"/>
          <w:lang w:val="en-US" w:eastAsia="zh-CN"/>
        </w:rPr>
        <w:t>5</w:t>
      </w:r>
      <w:r>
        <w:rPr>
          <w:rFonts w:hint="eastAsia" w:ascii="仿宋_GB2312" w:hAnsi="Calibri" w:eastAsia="仿宋_GB2312" w:cs="Times New Roman"/>
          <w:b w:val="0"/>
          <w:bCs w:val="0"/>
          <w:color w:val="auto"/>
          <w:sz w:val="32"/>
          <w:szCs w:val="32"/>
          <w:u w:val="none"/>
          <w:lang w:eastAsia="zh-CN"/>
        </w:rPr>
        <w:t>年高中阶段学校招生考试工作顺利实施，制定如下工作意见。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rPr>
        <w:t>一、招生计划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全市</w:t>
      </w:r>
      <w:r>
        <w:rPr>
          <w:rFonts w:hint="eastAsia" w:ascii="仿宋_GB2312" w:hAnsi="Calibri" w:eastAsia="仿宋_GB2312" w:cs="Times New Roman"/>
          <w:b w:val="0"/>
          <w:bCs w:val="0"/>
          <w:color w:val="auto"/>
          <w:sz w:val="32"/>
          <w:szCs w:val="32"/>
          <w:u w:val="none"/>
        </w:rPr>
        <w:t>公</w:t>
      </w:r>
      <w:r>
        <w:rPr>
          <w:rFonts w:hint="eastAsia" w:ascii="仿宋_GB2312" w:hAnsi="Calibri" w:eastAsia="仿宋_GB2312" w:cs="Times New Roman"/>
          <w:b w:val="0"/>
          <w:bCs w:val="0"/>
          <w:color w:val="auto"/>
          <w:sz w:val="32"/>
          <w:szCs w:val="32"/>
          <w:u w:val="none"/>
          <w:lang w:val="en-US" w:eastAsia="zh-CN"/>
        </w:rPr>
        <w:t>办、</w:t>
      </w:r>
      <w:r>
        <w:rPr>
          <w:rFonts w:hint="eastAsia" w:ascii="仿宋_GB2312" w:hAnsi="Calibri" w:eastAsia="仿宋_GB2312" w:cs="Times New Roman"/>
          <w:b w:val="0"/>
          <w:bCs w:val="0"/>
          <w:color w:val="auto"/>
          <w:sz w:val="32"/>
          <w:szCs w:val="32"/>
          <w:u w:val="none"/>
        </w:rPr>
        <w:t>民办高中阶段学校招生纳入统一管理，</w:t>
      </w:r>
      <w:r>
        <w:rPr>
          <w:rFonts w:hint="eastAsia" w:ascii="仿宋_GB2312" w:hAnsi="Calibri" w:eastAsia="仿宋_GB2312" w:cs="Times New Roman"/>
          <w:b w:val="0"/>
          <w:bCs w:val="0"/>
          <w:color w:val="auto"/>
          <w:sz w:val="32"/>
          <w:szCs w:val="32"/>
          <w:u w:val="none"/>
          <w:lang w:val="en-US" w:eastAsia="zh-CN"/>
        </w:rPr>
        <w:t>招生</w:t>
      </w:r>
      <w:r>
        <w:rPr>
          <w:rFonts w:hint="eastAsia" w:ascii="仿宋_GB2312" w:hAnsi="Calibri" w:eastAsia="仿宋_GB2312" w:cs="Times New Roman"/>
          <w:b w:val="0"/>
          <w:bCs w:val="0"/>
          <w:color w:val="auto"/>
          <w:sz w:val="32"/>
          <w:szCs w:val="32"/>
          <w:u w:val="none"/>
        </w:rPr>
        <w:t>计划实行同步编制、统一公布。根据省下达指导性招生任务，结合我市初中毕业</w:t>
      </w:r>
      <w:r>
        <w:rPr>
          <w:rFonts w:hint="eastAsia" w:ascii="仿宋_GB2312" w:hAnsi="Calibri" w:eastAsia="仿宋_GB2312" w:cs="Times New Roman"/>
          <w:b w:val="0"/>
          <w:bCs w:val="0"/>
          <w:color w:val="auto"/>
          <w:sz w:val="32"/>
          <w:szCs w:val="32"/>
          <w:u w:val="none"/>
          <w:lang w:eastAsia="zh-CN"/>
        </w:rPr>
        <w:t>人</w:t>
      </w:r>
      <w:r>
        <w:rPr>
          <w:rFonts w:hint="eastAsia" w:ascii="仿宋_GB2312" w:hAnsi="Calibri" w:eastAsia="仿宋_GB2312" w:cs="Times New Roman"/>
          <w:b w:val="0"/>
          <w:bCs w:val="0"/>
          <w:color w:val="auto"/>
          <w:sz w:val="32"/>
          <w:szCs w:val="32"/>
          <w:u w:val="none"/>
        </w:rPr>
        <w:t>数</w:t>
      </w:r>
      <w:r>
        <w:rPr>
          <w:rFonts w:hint="eastAsia" w:ascii="仿宋_GB2312" w:hAnsi="Calibri" w:eastAsia="仿宋_GB2312" w:cs="Times New Roman"/>
          <w:b w:val="0"/>
          <w:bCs w:val="0"/>
          <w:color w:val="auto"/>
          <w:sz w:val="32"/>
          <w:szCs w:val="32"/>
          <w:u w:val="none"/>
          <w:lang w:eastAsia="zh-CN"/>
        </w:rPr>
        <w:t>和</w:t>
      </w:r>
      <w:r>
        <w:rPr>
          <w:rFonts w:hint="eastAsia" w:ascii="仿宋_GB2312" w:hAnsi="Calibri" w:eastAsia="仿宋_GB2312" w:cs="Times New Roman"/>
          <w:b w:val="0"/>
          <w:bCs w:val="0"/>
          <w:color w:val="auto"/>
          <w:sz w:val="32"/>
          <w:szCs w:val="32"/>
          <w:u w:val="none"/>
        </w:rPr>
        <w:t>高中阶段教育资源配置，统筹下达各区招生任务，由各区编制各学校具体招生计划，报市教育局</w:t>
      </w:r>
      <w:r>
        <w:rPr>
          <w:rFonts w:hint="eastAsia" w:ascii="仿宋_GB2312" w:hAnsi="Calibri" w:eastAsia="仿宋_GB2312" w:cs="Times New Roman"/>
          <w:b w:val="0"/>
          <w:bCs w:val="0"/>
          <w:color w:val="auto"/>
          <w:sz w:val="32"/>
          <w:szCs w:val="32"/>
          <w:u w:val="none"/>
          <w:lang w:eastAsia="zh-CN"/>
        </w:rPr>
        <w:t>审批</w:t>
      </w:r>
      <w:r>
        <w:rPr>
          <w:rFonts w:hint="eastAsia" w:ascii="仿宋_GB2312" w:hAnsi="Calibri" w:eastAsia="仿宋_GB2312" w:cs="Times New Roman"/>
          <w:b w:val="0"/>
          <w:bCs w:val="0"/>
          <w:color w:val="auto"/>
          <w:sz w:val="32"/>
          <w:szCs w:val="32"/>
          <w:u w:val="none"/>
        </w:rPr>
        <w:t>后统一向社会公布。各招生学校根据核定的招生计划，录入招生管理系统，招生部门审核通过后执行。严格控制特长生招生学校和招生比例，对招收体育艺术特长</w:t>
      </w:r>
      <w:r>
        <w:rPr>
          <w:rFonts w:hint="eastAsia" w:ascii="仿宋_GB2312" w:hAnsi="Calibri" w:eastAsia="仿宋_GB2312" w:cs="Times New Roman"/>
          <w:b w:val="0"/>
          <w:bCs w:val="0"/>
          <w:color w:val="auto"/>
          <w:sz w:val="32"/>
          <w:szCs w:val="32"/>
          <w:u w:val="none"/>
          <w:lang w:eastAsia="zh-CN"/>
        </w:rPr>
        <w:t>生</w:t>
      </w:r>
      <w:r>
        <w:rPr>
          <w:rFonts w:hint="eastAsia" w:ascii="仿宋_GB2312" w:hAnsi="Calibri" w:eastAsia="仿宋_GB2312" w:cs="Times New Roman"/>
          <w:b w:val="0"/>
          <w:bCs w:val="0"/>
          <w:color w:val="auto"/>
          <w:sz w:val="32"/>
          <w:szCs w:val="32"/>
          <w:u w:val="none"/>
        </w:rPr>
        <w:t>的学校，要统筹考虑师资配备和办学条件承受能力，合理科学制定特长</w:t>
      </w:r>
      <w:r>
        <w:rPr>
          <w:rFonts w:hint="eastAsia" w:ascii="仿宋_GB2312" w:hAnsi="Calibri" w:eastAsia="仿宋_GB2312" w:cs="Times New Roman"/>
          <w:b w:val="0"/>
          <w:bCs w:val="0"/>
          <w:color w:val="auto"/>
          <w:sz w:val="32"/>
          <w:szCs w:val="32"/>
          <w:u w:val="none"/>
          <w:lang w:eastAsia="zh-CN"/>
        </w:rPr>
        <w:t>生</w:t>
      </w:r>
      <w:r>
        <w:rPr>
          <w:rFonts w:hint="eastAsia" w:ascii="仿宋_GB2312" w:hAnsi="Calibri" w:eastAsia="仿宋_GB2312" w:cs="Times New Roman"/>
          <w:b w:val="0"/>
          <w:bCs w:val="0"/>
          <w:color w:val="auto"/>
          <w:sz w:val="32"/>
          <w:szCs w:val="32"/>
          <w:u w:val="none"/>
        </w:rPr>
        <w:t>招生计划。鼓励各区探索综合高中和职普融通试点，试行中等职业学校和普通高中同批次并行招生。第一批面向全市招生学校探索动态调节机制，根据办学质量水平和规范招生情况动态调整，激励全市普通高中力争上游，不断提升办学质量，规范办学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val="en-US" w:eastAsia="zh-CN"/>
        </w:rPr>
        <w:t>二</w:t>
      </w:r>
      <w:r>
        <w:rPr>
          <w:rFonts w:hint="eastAsia" w:ascii="黑体" w:hAnsi="Calibri" w:eastAsia="黑体" w:cs="Times New Roman"/>
          <w:b w:val="0"/>
          <w:bCs w:val="0"/>
          <w:color w:val="auto"/>
          <w:sz w:val="32"/>
          <w:szCs w:val="32"/>
          <w:u w:val="none"/>
        </w:rPr>
        <w:t>、考试科目和时间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rPr>
        <w:t>（一）计入录取总分的考试科目包括：语文、数学、英语</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含听说</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、物理、化学、道德与法治、历史</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体育等8个科目以及物理、化学、生物学实验操作等3个实操类科目</w:t>
      </w:r>
      <w:r>
        <w:rPr>
          <w:rFonts w:hint="eastAsia" w:ascii="仿宋_GB2312" w:hAnsi="Calibri" w:eastAsia="仿宋_GB2312" w:cs="Times New Roman"/>
          <w:b w:val="0"/>
          <w:bCs w:val="0"/>
          <w:color w:val="auto"/>
          <w:sz w:val="32"/>
          <w:szCs w:val="32"/>
          <w:u w:val="none"/>
        </w:rPr>
        <w:t>，文化科满分6</w:t>
      </w:r>
      <w:r>
        <w:rPr>
          <w:rFonts w:hint="eastAsia" w:ascii="仿宋_GB2312" w:hAnsi="Calibri" w:eastAsia="仿宋_GB2312" w:cs="Times New Roman"/>
          <w:b w:val="0"/>
          <w:bCs w:val="0"/>
          <w:color w:val="auto"/>
          <w:sz w:val="32"/>
          <w:szCs w:val="32"/>
          <w:u w:val="none"/>
          <w:lang w:val="en-US" w:eastAsia="zh-CN"/>
        </w:rPr>
        <w:t>8</w:t>
      </w:r>
      <w:r>
        <w:rPr>
          <w:rFonts w:hint="eastAsia" w:ascii="仿宋_GB2312" w:hAnsi="Calibri" w:eastAsia="仿宋_GB2312" w:cs="Times New Roman"/>
          <w:b w:val="0"/>
          <w:bCs w:val="0"/>
          <w:color w:val="auto"/>
          <w:sz w:val="32"/>
          <w:szCs w:val="32"/>
          <w:u w:val="none"/>
        </w:rPr>
        <w:t>0分</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其中</w:t>
      </w:r>
      <w:r>
        <w:rPr>
          <w:rFonts w:hint="eastAsia" w:ascii="仿宋_GB2312" w:hAnsi="Calibri" w:eastAsia="仿宋_GB2312" w:cs="Times New Roman"/>
          <w:b w:val="0"/>
          <w:bCs w:val="0"/>
          <w:color w:val="auto"/>
          <w:sz w:val="32"/>
          <w:szCs w:val="32"/>
          <w:u w:val="none"/>
        </w:rPr>
        <w:t>英语科</w:t>
      </w:r>
      <w:r>
        <w:rPr>
          <w:rFonts w:hint="eastAsia" w:ascii="仿宋_GB2312" w:hAnsi="Calibri" w:eastAsia="仿宋_GB2312" w:cs="Times New Roman"/>
          <w:b w:val="0"/>
          <w:bCs w:val="0"/>
          <w:color w:val="auto"/>
          <w:sz w:val="32"/>
          <w:szCs w:val="32"/>
          <w:u w:val="none"/>
          <w:lang w:val="en-US" w:eastAsia="zh-CN"/>
        </w:rPr>
        <w:t>含</w:t>
      </w:r>
      <w:r>
        <w:rPr>
          <w:rFonts w:hint="eastAsia" w:ascii="仿宋_GB2312" w:hAnsi="Calibri" w:eastAsia="仿宋_GB2312" w:cs="Times New Roman"/>
          <w:b w:val="0"/>
          <w:bCs w:val="0"/>
          <w:color w:val="auto"/>
          <w:sz w:val="32"/>
          <w:szCs w:val="32"/>
          <w:u w:val="none"/>
        </w:rPr>
        <w:t>听说考试30分</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体育科满分60分，合计满分7</w:t>
      </w:r>
      <w:r>
        <w:rPr>
          <w:rFonts w:hint="eastAsia" w:ascii="仿宋_GB2312" w:hAnsi="Calibri" w:eastAsia="仿宋_GB2312" w:cs="Times New Roman"/>
          <w:b w:val="0"/>
          <w:bCs w:val="0"/>
          <w:color w:val="auto"/>
          <w:sz w:val="32"/>
          <w:szCs w:val="32"/>
          <w:u w:val="none"/>
          <w:lang w:val="en-US" w:eastAsia="zh-CN"/>
        </w:rPr>
        <w:t>4</w:t>
      </w:r>
      <w:r>
        <w:rPr>
          <w:rFonts w:hint="eastAsia" w:ascii="仿宋_GB2312" w:hAnsi="Calibri" w:eastAsia="仿宋_GB2312" w:cs="Times New Roman"/>
          <w:b w:val="0"/>
          <w:bCs w:val="0"/>
          <w:color w:val="auto"/>
          <w:sz w:val="32"/>
          <w:szCs w:val="32"/>
          <w:u w:val="none"/>
        </w:rPr>
        <w:t>0分</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实验操作科目以等级呈现</w:t>
      </w:r>
      <w:r>
        <w:rPr>
          <w:rFonts w:hint="eastAsia" w:ascii="仿宋_GB2312" w:hAnsi="Calibri" w:eastAsia="仿宋_GB2312" w:cs="Times New Roman"/>
          <w:b w:val="0"/>
          <w:bCs w:val="0"/>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1.语文、数学、英语、物理、化学、道德与法治、历史考试采用闭卷笔答方式，实行全省统一命题、统一考试时间</w:t>
      </w:r>
      <w:r>
        <w:rPr>
          <w:rFonts w:hint="eastAsia" w:ascii="仿宋_GB2312" w:hAnsi="Calibri" w:eastAsia="仿宋_GB2312" w:cs="Times New Roman"/>
          <w:b w:val="0"/>
          <w:bCs w:val="0"/>
          <w:color w:val="auto"/>
          <w:sz w:val="32"/>
          <w:szCs w:val="32"/>
          <w:u w:val="none"/>
          <w:lang w:val="en-US" w:eastAsia="zh-CN"/>
        </w:rPr>
        <w:t>时长</w:t>
      </w:r>
      <w:r>
        <w:rPr>
          <w:rFonts w:hint="eastAsia" w:ascii="仿宋_GB2312" w:hAnsi="Calibri" w:eastAsia="仿宋_GB2312" w:cs="Times New Roman"/>
          <w:b w:val="0"/>
          <w:bCs w:val="0"/>
          <w:color w:val="auto"/>
          <w:sz w:val="32"/>
          <w:szCs w:val="32"/>
          <w:u w:val="none"/>
        </w:rPr>
        <w:t>，全市统一网上评卷</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成绩公布</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按比例计入总分</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详见附件</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rPr>
        <w:t>体育考试由市教育局统一组织和监督，</w:t>
      </w:r>
      <w:r>
        <w:rPr>
          <w:rFonts w:hint="eastAsia" w:ascii="仿宋_GB2312" w:hAnsi="Calibri" w:eastAsia="仿宋_GB2312" w:cs="Times New Roman"/>
          <w:b w:val="0"/>
          <w:bCs w:val="0"/>
          <w:strike w:val="0"/>
          <w:color w:val="auto"/>
          <w:sz w:val="32"/>
          <w:szCs w:val="32"/>
          <w:u w:val="none"/>
        </w:rPr>
        <w:t>各区按要求实施</w:t>
      </w:r>
      <w:r>
        <w:rPr>
          <w:rFonts w:hint="eastAsia" w:ascii="仿宋_GB2312" w:hAnsi="Calibri" w:eastAsia="仿宋_GB2312" w:cs="Times New Roman"/>
          <w:b w:val="0"/>
          <w:bCs w:val="0"/>
          <w:strike w:val="0"/>
          <w:color w:val="auto"/>
          <w:sz w:val="32"/>
          <w:szCs w:val="32"/>
          <w:u w:val="none"/>
          <w:lang w:val="en-US" w:eastAsia="zh-CN"/>
        </w:rPr>
        <w:t>。</w:t>
      </w:r>
      <w:r>
        <w:rPr>
          <w:rFonts w:hint="eastAsia" w:ascii="仿宋_GB2312" w:hAnsi="Calibri" w:eastAsia="仿宋_GB2312" w:cs="Times New Roman"/>
          <w:b w:val="0"/>
          <w:bCs w:val="0"/>
          <w:color w:val="auto"/>
          <w:sz w:val="32"/>
          <w:szCs w:val="32"/>
          <w:u w:val="none"/>
        </w:rPr>
        <w:t>经区批准体育项目考试免考生</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须参加全市统一组织的体育基本知识理论考试</w:t>
      </w:r>
      <w:r>
        <w:rPr>
          <w:rFonts w:hint="eastAsia" w:ascii="仿宋_GB2312" w:hAnsi="Calibri" w:eastAsia="仿宋_GB2312" w:cs="Times New Roman"/>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3.</w:t>
      </w:r>
      <w:r>
        <w:rPr>
          <w:rFonts w:hint="eastAsia" w:ascii="仿宋_GB2312" w:hAnsi="Calibri" w:eastAsia="仿宋_GB2312" w:cs="Times New Roman"/>
          <w:b w:val="0"/>
          <w:bCs w:val="0"/>
          <w:color w:val="auto"/>
          <w:sz w:val="32"/>
          <w:szCs w:val="32"/>
          <w:u w:val="none"/>
        </w:rPr>
        <w:t>物理、化学和生物</w:t>
      </w:r>
      <w:r>
        <w:rPr>
          <w:rFonts w:hint="eastAsia" w:ascii="仿宋_GB2312" w:hAnsi="Calibri" w:eastAsia="仿宋_GB2312" w:cs="Times New Roman"/>
          <w:b w:val="0"/>
          <w:bCs w:val="0"/>
          <w:color w:val="auto"/>
          <w:sz w:val="32"/>
          <w:szCs w:val="32"/>
          <w:u w:val="none"/>
          <w:lang w:eastAsia="zh-CN"/>
        </w:rPr>
        <w:t>学</w:t>
      </w:r>
      <w:r>
        <w:rPr>
          <w:rFonts w:hint="eastAsia" w:ascii="仿宋_GB2312" w:hAnsi="Calibri" w:eastAsia="仿宋_GB2312" w:cs="Times New Roman"/>
          <w:b w:val="0"/>
          <w:bCs w:val="0"/>
          <w:color w:val="auto"/>
          <w:sz w:val="32"/>
          <w:szCs w:val="32"/>
          <w:u w:val="none"/>
        </w:rPr>
        <w:t>实验操作考试由市教育局统一组织，各区</w:t>
      </w:r>
      <w:r>
        <w:rPr>
          <w:rFonts w:hint="eastAsia" w:ascii="仿宋_GB2312" w:hAnsi="Calibri" w:eastAsia="仿宋_GB2312" w:cs="Times New Roman"/>
          <w:b w:val="0"/>
          <w:bCs w:val="0"/>
          <w:color w:val="auto"/>
          <w:sz w:val="32"/>
          <w:szCs w:val="32"/>
          <w:u w:val="none"/>
          <w:lang w:eastAsia="zh-CN"/>
        </w:rPr>
        <w:t>按要求</w:t>
      </w:r>
      <w:r>
        <w:rPr>
          <w:rFonts w:hint="eastAsia" w:ascii="仿宋_GB2312" w:hAnsi="Calibri" w:eastAsia="仿宋_GB2312" w:cs="Times New Roman"/>
          <w:b w:val="0"/>
          <w:bCs w:val="0"/>
          <w:color w:val="auto"/>
          <w:sz w:val="32"/>
          <w:szCs w:val="32"/>
          <w:u w:val="none"/>
        </w:rPr>
        <w:t>实施，具体</w:t>
      </w:r>
      <w:r>
        <w:rPr>
          <w:rFonts w:hint="eastAsia" w:ascii="仿宋_GB2312" w:hAnsi="Calibri" w:eastAsia="仿宋_GB2312" w:cs="Times New Roman"/>
          <w:b w:val="0"/>
          <w:bCs w:val="0"/>
          <w:color w:val="auto"/>
          <w:sz w:val="32"/>
          <w:szCs w:val="32"/>
          <w:u w:val="none"/>
          <w:lang w:eastAsia="zh-CN"/>
        </w:rPr>
        <w:t>实施方案</w:t>
      </w:r>
      <w:r>
        <w:rPr>
          <w:rFonts w:hint="eastAsia" w:ascii="仿宋_GB2312" w:hAnsi="Calibri" w:eastAsia="仿宋_GB2312" w:cs="Times New Roman"/>
          <w:b w:val="0"/>
          <w:bCs w:val="0"/>
          <w:color w:val="auto"/>
          <w:sz w:val="32"/>
          <w:szCs w:val="32"/>
          <w:u w:val="none"/>
        </w:rPr>
        <w:t>另行公布。</w:t>
      </w:r>
      <w:r>
        <w:rPr>
          <w:rFonts w:hint="eastAsia" w:ascii="仿宋_GB2312" w:hAnsi="Calibri" w:eastAsia="仿宋_GB2312" w:cs="Times New Roman"/>
          <w:b w:val="0"/>
          <w:bCs w:val="0"/>
          <w:color w:val="auto"/>
          <w:sz w:val="32"/>
          <w:szCs w:val="32"/>
          <w:u w:val="none"/>
          <w:lang w:eastAsia="zh-CN"/>
        </w:rPr>
        <w:t>考试</w:t>
      </w:r>
      <w:r>
        <w:rPr>
          <w:rFonts w:hint="eastAsia" w:ascii="仿宋_GB2312" w:hAnsi="Calibri" w:eastAsia="仿宋_GB2312" w:cs="Times New Roman"/>
          <w:b w:val="0"/>
          <w:bCs w:val="0"/>
          <w:color w:val="auto"/>
          <w:sz w:val="32"/>
          <w:szCs w:val="32"/>
          <w:u w:val="none"/>
        </w:rPr>
        <w:t>成绩分A、B、C、D四个等级呈现，其中优秀为A级，良好为B级，达标为C级，缺考、考试不达标或没有参加操作考试为D级。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4.</w:t>
      </w:r>
      <w:r>
        <w:rPr>
          <w:rFonts w:hint="eastAsia" w:ascii="仿宋_GB2312" w:hAnsi="Calibri" w:eastAsia="仿宋_GB2312" w:cs="Times New Roman"/>
          <w:b w:val="0"/>
          <w:bCs w:val="0"/>
          <w:color w:val="auto"/>
          <w:sz w:val="32"/>
          <w:szCs w:val="32"/>
          <w:u w:val="none"/>
          <w:lang w:eastAsia="zh-CN"/>
        </w:rPr>
        <w:t>英语听说考试由市教育局统一组织，各区</w:t>
      </w:r>
      <w:r>
        <w:rPr>
          <w:rFonts w:hint="eastAsia" w:ascii="仿宋_GB2312" w:hAnsi="Calibri" w:eastAsia="仿宋_GB2312" w:cs="Times New Roman"/>
          <w:b w:val="0"/>
          <w:bCs w:val="0"/>
          <w:color w:val="auto"/>
          <w:sz w:val="32"/>
          <w:szCs w:val="32"/>
          <w:u w:val="none"/>
          <w:lang w:val="en-US" w:eastAsia="zh-CN"/>
        </w:rPr>
        <w:t>按要求</w:t>
      </w:r>
      <w:r>
        <w:rPr>
          <w:rFonts w:hint="eastAsia" w:ascii="仿宋_GB2312" w:hAnsi="Calibri" w:eastAsia="仿宋_GB2312" w:cs="Times New Roman"/>
          <w:b w:val="0"/>
          <w:bCs w:val="0"/>
          <w:color w:val="auto"/>
          <w:sz w:val="32"/>
          <w:szCs w:val="32"/>
          <w:u w:val="none"/>
          <w:lang w:eastAsia="zh-CN"/>
        </w:rPr>
        <w:t>实施，</w:t>
      </w:r>
      <w:r>
        <w:rPr>
          <w:rFonts w:hint="eastAsia" w:ascii="仿宋_GB2312" w:hAnsi="Calibri" w:eastAsia="仿宋_GB2312" w:cs="Times New Roman"/>
          <w:b w:val="0"/>
          <w:bCs w:val="0"/>
          <w:color w:val="auto"/>
          <w:sz w:val="32"/>
          <w:szCs w:val="32"/>
          <w:u w:val="none"/>
          <w:lang w:val="en-US" w:eastAsia="zh-CN"/>
        </w:rPr>
        <w:t>满分30分计入英语科（满分120分），</w:t>
      </w:r>
      <w:r>
        <w:rPr>
          <w:rFonts w:hint="eastAsia" w:ascii="仿宋_GB2312" w:hAnsi="Calibri" w:eastAsia="仿宋_GB2312" w:cs="Times New Roman"/>
          <w:b w:val="0"/>
          <w:bCs w:val="0"/>
          <w:color w:val="auto"/>
          <w:sz w:val="32"/>
          <w:szCs w:val="32"/>
          <w:u w:val="none"/>
          <w:lang w:eastAsia="zh-CN"/>
        </w:rPr>
        <w:t>英语科笔试期间不考听力部分，原听力时间用于答题。</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（二）</w:t>
      </w:r>
      <w:r>
        <w:rPr>
          <w:rFonts w:hint="eastAsia" w:ascii="仿宋_GB2312" w:hAnsi="Calibri" w:eastAsia="仿宋_GB2312" w:cs="Times New Roman"/>
          <w:b w:val="0"/>
          <w:bCs w:val="0"/>
          <w:color w:val="auto"/>
          <w:sz w:val="32"/>
          <w:szCs w:val="32"/>
          <w:u w:val="none"/>
          <w:lang w:eastAsia="zh-CN"/>
        </w:rPr>
        <w:t>其他</w:t>
      </w:r>
      <w:r>
        <w:rPr>
          <w:rFonts w:hint="eastAsia" w:ascii="仿宋_GB2312" w:hAnsi="Calibri" w:eastAsia="仿宋_GB2312" w:cs="Times New Roman"/>
          <w:b w:val="0"/>
          <w:bCs w:val="0"/>
          <w:color w:val="auto"/>
          <w:sz w:val="32"/>
          <w:szCs w:val="32"/>
          <w:u w:val="none"/>
        </w:rPr>
        <w:t>科目</w:t>
      </w:r>
      <w:r>
        <w:rPr>
          <w:rFonts w:hint="eastAsia" w:ascii="仿宋_GB2312" w:hAnsi="Calibri" w:eastAsia="仿宋_GB2312" w:cs="Times New Roman"/>
          <w:b w:val="0"/>
          <w:bCs w:val="0"/>
          <w:color w:val="auto"/>
          <w:sz w:val="32"/>
          <w:szCs w:val="32"/>
          <w:u w:val="none"/>
          <w:lang w:eastAsia="zh-CN"/>
        </w:rPr>
        <w:t>考试成绩</w:t>
      </w:r>
      <w:r>
        <w:rPr>
          <w:rFonts w:hint="eastAsia" w:ascii="仿宋_GB2312" w:hAnsi="Calibri" w:eastAsia="仿宋_GB2312" w:cs="Times New Roman"/>
          <w:b w:val="0"/>
          <w:bCs w:val="0"/>
          <w:color w:val="auto"/>
          <w:sz w:val="32"/>
          <w:szCs w:val="32"/>
          <w:u w:val="none"/>
        </w:rPr>
        <w:t>在综合素质</w:t>
      </w:r>
      <w:r>
        <w:rPr>
          <w:rFonts w:hint="eastAsia" w:ascii="仿宋_GB2312" w:hAnsi="Calibri" w:eastAsia="仿宋_GB2312" w:cs="Times New Roman"/>
          <w:b w:val="0"/>
          <w:bCs w:val="0"/>
          <w:color w:val="auto"/>
          <w:sz w:val="32"/>
          <w:szCs w:val="32"/>
          <w:u w:val="none"/>
          <w:lang w:eastAsia="zh-CN"/>
        </w:rPr>
        <w:t>表现评定</w:t>
      </w:r>
      <w:r>
        <w:rPr>
          <w:rFonts w:hint="eastAsia" w:ascii="仿宋_GB2312" w:hAnsi="Calibri" w:eastAsia="仿宋_GB2312" w:cs="Times New Roman"/>
          <w:b w:val="0"/>
          <w:bCs w:val="0"/>
          <w:color w:val="auto"/>
          <w:sz w:val="32"/>
          <w:szCs w:val="32"/>
          <w:u w:val="none"/>
        </w:rPr>
        <w:t>中予以反映</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地理、生物</w:t>
      </w:r>
      <w:r>
        <w:rPr>
          <w:rFonts w:hint="eastAsia" w:ascii="仿宋_GB2312" w:hAnsi="Calibri" w:eastAsia="仿宋_GB2312" w:cs="Times New Roman"/>
          <w:b w:val="0"/>
          <w:bCs w:val="0"/>
          <w:color w:val="auto"/>
          <w:sz w:val="32"/>
          <w:szCs w:val="32"/>
          <w:u w:val="none"/>
          <w:lang w:eastAsia="zh-CN"/>
        </w:rPr>
        <w:t>学</w:t>
      </w:r>
      <w:r>
        <w:rPr>
          <w:rFonts w:hint="eastAsia" w:ascii="仿宋_GB2312" w:hAnsi="Calibri" w:eastAsia="仿宋_GB2312" w:cs="Times New Roman"/>
          <w:b w:val="0"/>
          <w:bCs w:val="0"/>
          <w:color w:val="auto"/>
          <w:sz w:val="32"/>
          <w:szCs w:val="32"/>
          <w:u w:val="none"/>
        </w:rPr>
        <w:t>考试采用全省统一命题</w:t>
      </w:r>
      <w:r>
        <w:rPr>
          <w:rFonts w:hint="eastAsia" w:ascii="仿宋_GB2312" w:hAnsi="Calibri" w:eastAsia="仿宋_GB2312" w:cs="Times New Roman"/>
          <w:b w:val="0"/>
          <w:bCs w:val="0"/>
          <w:color w:val="auto"/>
          <w:sz w:val="32"/>
          <w:szCs w:val="32"/>
          <w:u w:val="none"/>
          <w:lang w:eastAsia="zh-CN"/>
        </w:rPr>
        <w:t>，按省考试院统一部署安排考试，结果以分数呈现；</w:t>
      </w:r>
      <w:r>
        <w:rPr>
          <w:rFonts w:hint="eastAsia" w:ascii="仿宋_GB2312" w:hAnsi="Calibri" w:eastAsia="仿宋_GB2312" w:cs="Times New Roman"/>
          <w:b w:val="0"/>
          <w:bCs w:val="0"/>
          <w:color w:val="auto"/>
          <w:sz w:val="32"/>
          <w:szCs w:val="32"/>
          <w:u w:val="none"/>
        </w:rPr>
        <w:t>音乐、美术、信息</w:t>
      </w:r>
      <w:r>
        <w:rPr>
          <w:rFonts w:hint="eastAsia" w:ascii="仿宋_GB2312" w:hAnsi="Calibri" w:eastAsia="仿宋_GB2312" w:cs="Times New Roman"/>
          <w:b w:val="0"/>
          <w:bCs w:val="0"/>
          <w:color w:val="auto"/>
          <w:sz w:val="32"/>
          <w:szCs w:val="32"/>
          <w:u w:val="none"/>
          <w:lang w:val="en-US" w:eastAsia="zh-CN"/>
        </w:rPr>
        <w:t>科技</w:t>
      </w:r>
      <w:r>
        <w:rPr>
          <w:rFonts w:hint="eastAsia" w:ascii="仿宋_GB2312" w:hAnsi="Calibri" w:eastAsia="仿宋_GB2312" w:cs="Times New Roman"/>
          <w:b w:val="0"/>
          <w:bCs w:val="0"/>
          <w:color w:val="auto"/>
          <w:sz w:val="32"/>
          <w:szCs w:val="32"/>
          <w:u w:val="none"/>
        </w:rPr>
        <w:t>等科目考试由市统一组织命题并实施</w:t>
      </w:r>
      <w:r>
        <w:rPr>
          <w:rFonts w:hint="eastAsia" w:ascii="仿宋_GB2312" w:hAnsi="Calibri" w:eastAsia="仿宋_GB2312" w:cs="Times New Roman"/>
          <w:b w:val="0"/>
          <w:bCs w:val="0"/>
          <w:color w:val="auto"/>
          <w:sz w:val="32"/>
          <w:szCs w:val="32"/>
          <w:u w:val="none"/>
          <w:lang w:eastAsia="zh-CN"/>
        </w:rPr>
        <w:t>，结果以等级呈现；</w:t>
      </w:r>
      <w:r>
        <w:rPr>
          <w:rFonts w:hint="eastAsia" w:ascii="仿宋_GB2312" w:hAnsi="Calibri" w:eastAsia="仿宋_GB2312" w:cs="Times New Roman"/>
          <w:b w:val="0"/>
          <w:bCs w:val="0"/>
          <w:color w:val="auto"/>
          <w:sz w:val="32"/>
          <w:szCs w:val="32"/>
          <w:u w:val="none"/>
        </w:rPr>
        <w:t>综合实践活动等科目由区教育局统一组织考试或考查。</w:t>
      </w:r>
      <w:r>
        <w:rPr>
          <w:rFonts w:hint="eastAsia" w:ascii="仿宋_GB2312" w:hAnsi="Calibri" w:eastAsia="仿宋_GB2312" w:cs="Times New Roman"/>
          <w:b w:val="0"/>
          <w:bCs w:val="0"/>
          <w:color w:val="auto"/>
          <w:sz w:val="32"/>
          <w:szCs w:val="32"/>
          <w:u w:val="none"/>
          <w:lang w:eastAsia="zh-CN"/>
        </w:rPr>
        <w:t>上述科目成绩不纳入录取计分。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val="en-US" w:eastAsia="zh-CN"/>
        </w:rPr>
        <w:t>三</w:t>
      </w:r>
      <w:r>
        <w:rPr>
          <w:rFonts w:hint="eastAsia" w:ascii="黑体" w:hAnsi="Calibri" w:eastAsia="黑体" w:cs="Times New Roman"/>
          <w:b w:val="0"/>
          <w:bCs w:val="0"/>
          <w:color w:val="auto"/>
          <w:sz w:val="32"/>
          <w:szCs w:val="32"/>
          <w:u w:val="none"/>
        </w:rPr>
        <w:t>、报名和志愿填报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（一）考生报名和志愿填报通过佛山市中考信息管理系统，实行全市统一</w:t>
      </w:r>
      <w:r>
        <w:rPr>
          <w:rFonts w:hint="eastAsia" w:ascii="仿宋_GB2312" w:hAnsi="Calibri" w:eastAsia="仿宋_GB2312" w:cs="Times New Roman"/>
          <w:b w:val="0"/>
          <w:bCs w:val="0"/>
          <w:color w:val="auto"/>
          <w:sz w:val="32"/>
          <w:szCs w:val="32"/>
          <w:u w:val="none"/>
          <w:lang w:eastAsia="zh-CN"/>
        </w:rPr>
        <w:t>考生自愿网上</w:t>
      </w:r>
      <w:r>
        <w:rPr>
          <w:rFonts w:hint="eastAsia" w:ascii="仿宋_GB2312" w:hAnsi="Calibri" w:eastAsia="仿宋_GB2312" w:cs="Times New Roman"/>
          <w:b w:val="0"/>
          <w:bCs w:val="0"/>
          <w:color w:val="auto"/>
          <w:sz w:val="32"/>
          <w:szCs w:val="32"/>
          <w:u w:val="none"/>
          <w:lang w:val="en-US" w:eastAsia="zh-CN"/>
        </w:rPr>
        <w:t>填报和</w:t>
      </w:r>
      <w:r>
        <w:rPr>
          <w:rFonts w:hint="eastAsia" w:ascii="仿宋_GB2312" w:hAnsi="Calibri" w:eastAsia="仿宋_GB2312" w:cs="Times New Roman"/>
          <w:b w:val="0"/>
          <w:bCs w:val="0"/>
          <w:color w:val="auto"/>
          <w:sz w:val="32"/>
          <w:szCs w:val="32"/>
          <w:u w:val="none"/>
          <w:lang w:eastAsia="zh-CN"/>
        </w:rPr>
        <w:t>现场确认，</w:t>
      </w:r>
      <w:r>
        <w:rPr>
          <w:rFonts w:hint="eastAsia" w:ascii="仿宋_GB2312" w:hAnsi="Calibri" w:eastAsia="仿宋_GB2312" w:cs="Times New Roman"/>
          <w:b w:val="0"/>
          <w:bCs w:val="0"/>
          <w:color w:val="auto"/>
          <w:sz w:val="32"/>
          <w:szCs w:val="32"/>
          <w:u w:val="none"/>
          <w:lang w:val="en-US" w:eastAsia="zh-CN"/>
        </w:rPr>
        <w:t>具体安排另行通知。</w:t>
      </w:r>
      <w:r>
        <w:rPr>
          <w:rFonts w:hint="eastAsia" w:ascii="仿宋_GB2312" w:hAnsi="Calibri" w:eastAsia="仿宋_GB2312" w:cs="Times New Roman"/>
          <w:b w:val="0"/>
          <w:bCs w:val="0"/>
          <w:color w:val="auto"/>
          <w:sz w:val="32"/>
          <w:szCs w:val="32"/>
          <w:u w:val="none"/>
        </w:rPr>
        <w:t>报名和志愿填报数据一经确认，任何</w:t>
      </w:r>
      <w:r>
        <w:rPr>
          <w:rFonts w:hint="eastAsia" w:ascii="仿宋_GB2312" w:hAnsi="Calibri" w:eastAsia="仿宋_GB2312" w:cs="Times New Roman"/>
          <w:b w:val="0"/>
          <w:bCs w:val="0"/>
          <w:color w:val="auto"/>
          <w:sz w:val="32"/>
          <w:szCs w:val="32"/>
          <w:u w:val="none"/>
          <w:lang w:eastAsia="zh-CN"/>
        </w:rPr>
        <w:t>单位和</w:t>
      </w:r>
      <w:r>
        <w:rPr>
          <w:rFonts w:hint="eastAsia" w:ascii="仿宋_GB2312" w:hAnsi="Calibri" w:eastAsia="仿宋_GB2312" w:cs="Times New Roman"/>
          <w:b w:val="0"/>
          <w:bCs w:val="0"/>
          <w:color w:val="auto"/>
          <w:sz w:val="32"/>
          <w:szCs w:val="32"/>
          <w:u w:val="none"/>
        </w:rPr>
        <w:t>个人不得擅自修改。各区要保障考生自主选择升学权利和知情权，严禁为追求升学率剥夺学生参加中考的权利</w:t>
      </w:r>
      <w:r>
        <w:rPr>
          <w:rFonts w:hint="eastAsia" w:ascii="仿宋_GB2312" w:hAnsi="Calibri" w:eastAsia="仿宋_GB2312" w:cs="Times New Roman"/>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二</w:t>
      </w:r>
      <w:r>
        <w:rPr>
          <w:rFonts w:hint="eastAsia" w:ascii="仿宋_GB2312" w:hAnsi="Calibri" w:eastAsia="仿宋_GB2312" w:cs="Times New Roman"/>
          <w:b w:val="0"/>
          <w:bCs w:val="0"/>
          <w:color w:val="auto"/>
          <w:sz w:val="32"/>
          <w:szCs w:val="32"/>
          <w:u w:val="none"/>
          <w:lang w:eastAsia="zh-CN"/>
        </w:rPr>
        <w:t>）经审核认定符合</w:t>
      </w:r>
      <w:r>
        <w:rPr>
          <w:rFonts w:hint="eastAsia" w:ascii="仿宋_GB2312" w:hAnsi="Calibri" w:eastAsia="仿宋_GB2312" w:cs="Times New Roman"/>
          <w:b w:val="0"/>
          <w:bCs w:val="0"/>
          <w:color w:val="auto"/>
          <w:sz w:val="32"/>
          <w:szCs w:val="32"/>
          <w:u w:val="none"/>
          <w:lang w:val="en-US" w:eastAsia="zh-CN"/>
        </w:rPr>
        <w:t>条件的非佛山市户籍考生，</w:t>
      </w:r>
      <w:r>
        <w:rPr>
          <w:rFonts w:hint="eastAsia" w:ascii="仿宋_GB2312" w:hAnsi="Calibri" w:eastAsia="仿宋_GB2312" w:cs="Times New Roman"/>
          <w:b w:val="0"/>
          <w:bCs w:val="0"/>
          <w:color w:val="auto"/>
          <w:sz w:val="32"/>
          <w:szCs w:val="32"/>
          <w:u w:val="none"/>
          <w:lang w:eastAsia="zh-CN"/>
        </w:rPr>
        <w:t>可与本市户籍初中毕业生享有同等报考资格（</w:t>
      </w:r>
      <w:r>
        <w:rPr>
          <w:rFonts w:hint="eastAsia" w:ascii="仿宋_GB2312" w:hAnsi="Calibri" w:eastAsia="仿宋_GB2312" w:cs="Times New Roman"/>
          <w:b w:val="0"/>
          <w:bCs w:val="0"/>
          <w:color w:val="auto"/>
          <w:sz w:val="32"/>
          <w:szCs w:val="32"/>
          <w:u w:val="none"/>
          <w:lang w:val="en-US" w:eastAsia="zh-CN"/>
        </w:rPr>
        <w:t>详见附件</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不符合条件的其他考生</w:t>
      </w:r>
      <w:r>
        <w:rPr>
          <w:rFonts w:hint="eastAsia" w:ascii="仿宋_GB2312" w:hAnsi="Calibri" w:eastAsia="仿宋_GB2312" w:cs="Times New Roman"/>
          <w:b w:val="0"/>
          <w:bCs w:val="0"/>
          <w:color w:val="auto"/>
          <w:sz w:val="32"/>
          <w:szCs w:val="32"/>
          <w:u w:val="none"/>
          <w:lang w:eastAsia="zh-CN"/>
        </w:rPr>
        <w:t>，原则上只允许报考普通高中自主招生、民办普通高中及中职学校。各区在公平公正原则下，可安排少量公办普通高中计划招生。往届生不得报考公办普通高中。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三</w:t>
      </w:r>
      <w:r>
        <w:rPr>
          <w:rFonts w:hint="eastAsia" w:ascii="仿宋_GB2312" w:hAnsi="Calibri" w:eastAsia="仿宋_GB2312" w:cs="Times New Roman"/>
          <w:b w:val="0"/>
          <w:bCs w:val="0"/>
          <w:color w:val="auto"/>
          <w:sz w:val="32"/>
          <w:szCs w:val="32"/>
          <w:u w:val="none"/>
        </w:rPr>
        <w:t>）市将统一编制中考招生《报考指南》，各区、各学校务必要在考生填报志愿前人手一份发放到位，加强政策引导</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考生在全面了解报考学校情况、招生章程、办学定位、学校性质、收费标准、招生计划、招生条件范围等前提下，科学填报志愿</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因志愿填报不合理影响录取结果，由考生本人承担。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四</w:t>
      </w:r>
      <w:r>
        <w:rPr>
          <w:rFonts w:hint="eastAsia" w:ascii="仿宋_GB2312" w:hAnsi="Calibri" w:eastAsia="仿宋_GB2312" w:cs="Times New Roman"/>
          <w:b w:val="0"/>
          <w:bCs w:val="0"/>
          <w:color w:val="auto"/>
          <w:sz w:val="32"/>
          <w:szCs w:val="32"/>
          <w:u w:val="none"/>
          <w:lang w:eastAsia="zh-CN"/>
        </w:rPr>
        <w:t>）加强学校领导及毕业班教师招生政策的辅导培训，做到政策掌握上下一致、宣传口径上下一致，多途径发布招生考试信息，为考生及考生家长提供报名、考试、录取等方面的咨询服务，指导学生选择和填报升学志愿。关注考生心理健康，及时做好落选生思想疏导和来信来访解释答复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五</w:t>
      </w:r>
      <w:r>
        <w:rPr>
          <w:rFonts w:hint="eastAsia" w:ascii="仿宋_GB2312" w:hAnsi="Calibri" w:eastAsia="仿宋_GB2312" w:cs="Times New Roman"/>
          <w:b w:val="0"/>
          <w:bCs w:val="0"/>
          <w:color w:val="auto"/>
          <w:sz w:val="32"/>
          <w:szCs w:val="32"/>
          <w:u w:val="none"/>
        </w:rPr>
        <w:t>）</w:t>
      </w:r>
      <w:r>
        <w:rPr>
          <w:rFonts w:hint="eastAsia" w:ascii="仿宋_GB2312" w:hAnsi="仿宋_GB2312" w:eastAsia="仿宋_GB2312" w:cs="仿宋_GB2312"/>
          <w:b w:val="0"/>
          <w:bCs w:val="0"/>
          <w:color w:val="auto"/>
          <w:sz w:val="32"/>
          <w:szCs w:val="32"/>
          <w:u w:val="none"/>
        </w:rPr>
        <w:t>各区要尊重考生报考意愿和合法权益，严禁信息封锁或阻拦</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诱导干扰</w:t>
      </w:r>
      <w:r>
        <w:rPr>
          <w:rFonts w:hint="eastAsia" w:ascii="仿宋_GB2312" w:hAnsi="仿宋_GB2312" w:eastAsia="仿宋_GB2312" w:cs="仿宋_GB2312"/>
          <w:b w:val="0"/>
          <w:bCs w:val="0"/>
          <w:color w:val="auto"/>
          <w:sz w:val="32"/>
          <w:szCs w:val="32"/>
          <w:u w:val="none"/>
        </w:rPr>
        <w:t>考生填报跨区志愿。</w:t>
      </w:r>
      <w:r>
        <w:rPr>
          <w:rFonts w:hint="eastAsia" w:ascii="仿宋_GB2312" w:hAnsi="仿宋_GB2312" w:eastAsia="仿宋_GB2312" w:cs="仿宋_GB2312"/>
          <w:b w:val="0"/>
          <w:bCs w:val="0"/>
          <w:color w:val="auto"/>
          <w:sz w:val="32"/>
          <w:szCs w:val="32"/>
          <w:u w:val="none"/>
          <w:lang w:eastAsia="zh-CN"/>
        </w:rPr>
        <w:t>严禁口头承诺、书面签约等方式提前锁定生源。</w:t>
      </w:r>
      <w:r>
        <w:rPr>
          <w:rFonts w:hint="eastAsia" w:ascii="仿宋_GB2312" w:hAnsi="仿宋_GB2312" w:eastAsia="仿宋_GB2312" w:cs="仿宋_GB2312"/>
          <w:b w:val="0"/>
          <w:bCs w:val="0"/>
          <w:color w:val="auto"/>
          <w:sz w:val="32"/>
          <w:szCs w:val="32"/>
          <w:u w:val="none"/>
          <w:lang w:val="en-US" w:eastAsia="zh-CN"/>
        </w:rPr>
        <w:t>考生</w:t>
      </w:r>
      <w:r>
        <w:rPr>
          <w:rFonts w:hint="eastAsia" w:ascii="仿宋_GB2312" w:hAnsi="仿宋_GB2312" w:eastAsia="仿宋_GB2312" w:cs="仿宋_GB2312"/>
          <w:b w:val="0"/>
          <w:bCs w:val="0"/>
          <w:color w:val="auto"/>
          <w:sz w:val="32"/>
          <w:szCs w:val="32"/>
          <w:u w:val="none"/>
          <w:lang w:eastAsia="zh-CN"/>
        </w:rPr>
        <w:t>原则上不得放弃填报志愿。</w:t>
      </w:r>
      <w:r>
        <w:rPr>
          <w:rFonts w:hint="eastAsia" w:ascii="仿宋_GB2312" w:hAnsi="Calibri" w:eastAsia="仿宋_GB2312" w:cs="Times New Roman"/>
          <w:b w:val="0"/>
          <w:bCs w:val="0"/>
          <w:color w:val="auto"/>
          <w:sz w:val="32"/>
          <w:szCs w:val="32"/>
          <w:u w:val="none"/>
          <w:lang w:eastAsia="zh-CN"/>
        </w:rPr>
        <w:t>市教育局统一制订志愿填报草表规定格式，各区各学校不得擅自修改，或以印制仅包含本区学校的志愿草表形式误导考生，所有志愿填报</w:t>
      </w:r>
      <w:r>
        <w:rPr>
          <w:rFonts w:hint="eastAsia" w:ascii="仿宋_GB2312" w:hAnsi="Calibri" w:eastAsia="仿宋_GB2312" w:cs="Times New Roman"/>
          <w:b w:val="0"/>
          <w:bCs w:val="0"/>
          <w:color w:val="auto"/>
          <w:sz w:val="32"/>
          <w:szCs w:val="32"/>
          <w:u w:val="none"/>
          <w:lang w:val="en-US" w:eastAsia="zh-CN"/>
        </w:rPr>
        <w:t>表格</w:t>
      </w:r>
      <w:r>
        <w:rPr>
          <w:rFonts w:hint="eastAsia" w:ascii="仿宋_GB2312" w:hAnsi="Calibri" w:eastAsia="仿宋_GB2312" w:cs="Times New Roman"/>
          <w:b w:val="0"/>
          <w:bCs w:val="0"/>
          <w:color w:val="auto"/>
          <w:sz w:val="32"/>
          <w:szCs w:val="32"/>
          <w:u w:val="none"/>
          <w:lang w:eastAsia="zh-CN"/>
        </w:rPr>
        <w:t>必须存档备查，严防志愿被篡改。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Calibri" w:eastAsia="黑体" w:cs="Times New Roman"/>
          <w:b w:val="0"/>
          <w:bCs w:val="0"/>
          <w:color w:val="auto"/>
          <w:sz w:val="32"/>
          <w:szCs w:val="32"/>
          <w:u w:val="none"/>
          <w:lang w:eastAsia="zh-CN"/>
        </w:rPr>
      </w:pPr>
      <w:r>
        <w:rPr>
          <w:rFonts w:hint="eastAsia" w:ascii="黑体" w:hAnsi="Calibri" w:eastAsia="黑体" w:cs="Times New Roman"/>
          <w:b w:val="0"/>
          <w:bCs w:val="0"/>
          <w:color w:val="auto"/>
          <w:sz w:val="32"/>
          <w:szCs w:val="32"/>
          <w:u w:val="none"/>
          <w:lang w:val="en-US" w:eastAsia="zh-CN"/>
        </w:rPr>
        <w:t>四</w:t>
      </w:r>
      <w:r>
        <w:rPr>
          <w:rFonts w:hint="eastAsia" w:ascii="黑体" w:hAnsi="Calibri" w:eastAsia="黑体" w:cs="Times New Roman"/>
          <w:b w:val="0"/>
          <w:bCs w:val="0"/>
          <w:color w:val="auto"/>
          <w:sz w:val="32"/>
          <w:szCs w:val="32"/>
          <w:u w:val="none"/>
        </w:rPr>
        <w:t>、初中毕业生综合表现评定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一）初中毕业生综合表现评定由考生毕业学校（或报名点）负责录入，各学校应对学生给予综合性评语，客观全面如实描述学生的综合素质，突出学生的特点和发展潜能。根据学生综合表现给予A、B、C、D四级别的评价等级，对表现评定为“D”级时，</w:t>
      </w:r>
      <w:r>
        <w:rPr>
          <w:rFonts w:hint="eastAsia" w:ascii="仿宋_GB2312" w:hAnsi="Calibri" w:eastAsia="仿宋_GB2312" w:cs="Times New Roman"/>
          <w:b w:val="0"/>
          <w:bCs w:val="0"/>
          <w:color w:val="auto"/>
          <w:sz w:val="32"/>
          <w:szCs w:val="32"/>
          <w:u w:val="none"/>
          <w:lang w:eastAsia="zh-CN"/>
        </w:rPr>
        <w:t>各学校</w:t>
      </w:r>
      <w:r>
        <w:rPr>
          <w:rFonts w:hint="eastAsia" w:ascii="仿宋_GB2312" w:hAnsi="Calibri" w:eastAsia="仿宋_GB2312" w:cs="Times New Roman"/>
          <w:b w:val="0"/>
          <w:bCs w:val="0"/>
          <w:color w:val="auto"/>
          <w:sz w:val="32"/>
          <w:szCs w:val="32"/>
          <w:u w:val="none"/>
        </w:rPr>
        <w:t>应予以慎重，报教育主管部门批准。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（二）初中毕业生综合表现评定结果作为高中阶段学校录取参考，国家示范性高中录取考生不低于B等级。录取投档同分比较，在相同录取政策前提下，根据综合表现评定由高至低等级优先次序录取。</w:t>
      </w:r>
      <w:r>
        <w:rPr>
          <w:rFonts w:hint="eastAsia" w:ascii="仿宋_GB2312" w:hAnsi="Calibri" w:eastAsia="仿宋_GB2312" w:cs="Times New Roman"/>
          <w:b w:val="0"/>
          <w:bCs w:val="0"/>
          <w:color w:val="auto"/>
          <w:sz w:val="32"/>
          <w:szCs w:val="32"/>
          <w:u w:val="none"/>
          <w:lang w:val="en-US" w:eastAsia="zh-CN"/>
        </w:rPr>
        <w:t>2026年起，评价结果的使用按《佛山市初中学生综合素质评价实施方案》（佛山教育〔2023〕57号）执行。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val="en-US" w:eastAsia="zh-CN"/>
        </w:rPr>
        <w:t>五</w:t>
      </w:r>
      <w:r>
        <w:rPr>
          <w:rFonts w:hint="eastAsia" w:ascii="黑体" w:hAnsi="Calibri" w:eastAsia="黑体" w:cs="Times New Roman"/>
          <w:b w:val="0"/>
          <w:bCs w:val="0"/>
          <w:color w:val="auto"/>
          <w:sz w:val="32"/>
          <w:szCs w:val="32"/>
          <w:u w:val="none"/>
        </w:rPr>
        <w:t>、招生录取管理工作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（一）全市高中阶段学校</w:t>
      </w:r>
      <w:r>
        <w:rPr>
          <w:rFonts w:hint="eastAsia" w:ascii="仿宋_GB2312" w:hAnsi="仿宋_GB2312" w:eastAsia="仿宋_GB2312" w:cs="仿宋_GB2312"/>
          <w:b w:val="0"/>
          <w:bCs w:val="0"/>
          <w:color w:val="auto"/>
          <w:sz w:val="32"/>
          <w:szCs w:val="32"/>
          <w:u w:val="none"/>
          <w:lang w:eastAsia="zh-CN"/>
        </w:rPr>
        <w:t>招生</w:t>
      </w:r>
      <w:r>
        <w:rPr>
          <w:rFonts w:hint="eastAsia" w:ascii="仿宋_GB2312" w:hAnsi="仿宋_GB2312" w:eastAsia="仿宋_GB2312" w:cs="仿宋_GB2312"/>
          <w:b w:val="0"/>
          <w:bCs w:val="0"/>
          <w:color w:val="auto"/>
          <w:sz w:val="32"/>
          <w:szCs w:val="32"/>
          <w:u w:val="none"/>
        </w:rPr>
        <w:t>录取</w:t>
      </w:r>
      <w:r>
        <w:rPr>
          <w:rFonts w:hint="eastAsia" w:ascii="仿宋_GB2312" w:hAnsi="仿宋_GB2312" w:eastAsia="仿宋_GB2312" w:cs="仿宋_GB2312"/>
          <w:b w:val="0"/>
          <w:bCs w:val="0"/>
          <w:color w:val="auto"/>
          <w:sz w:val="32"/>
          <w:szCs w:val="32"/>
          <w:u w:val="none"/>
          <w:lang w:eastAsia="zh-CN"/>
        </w:rPr>
        <w:t>必须通过</w:t>
      </w:r>
      <w:r>
        <w:rPr>
          <w:rFonts w:hint="eastAsia" w:ascii="仿宋_GB2312" w:hAnsi="仿宋_GB2312" w:eastAsia="仿宋_GB2312" w:cs="仿宋_GB2312"/>
          <w:b w:val="0"/>
          <w:bCs w:val="0"/>
          <w:color w:val="auto"/>
          <w:sz w:val="32"/>
          <w:szCs w:val="32"/>
          <w:u w:val="none"/>
        </w:rPr>
        <w:t>佛山市中考信息管理系统，实行“统筹管理、数据集中、实时监控”，分批次在规定时间内完成录取。</w:t>
      </w:r>
      <w:r>
        <w:rPr>
          <w:rFonts w:hint="eastAsia" w:ascii="仿宋_GB2312" w:hAnsi="仿宋_GB2312" w:eastAsia="仿宋_GB2312" w:cs="仿宋_GB2312"/>
          <w:b w:val="0"/>
          <w:bCs w:val="0"/>
          <w:color w:val="auto"/>
          <w:sz w:val="32"/>
          <w:szCs w:val="32"/>
          <w:u w:val="none"/>
          <w:lang w:val="en-US" w:eastAsia="zh-CN"/>
        </w:rPr>
        <w:t>各区要</w:t>
      </w:r>
      <w:r>
        <w:rPr>
          <w:rFonts w:hint="eastAsia" w:ascii="仿宋_GB2312" w:hAnsi="仿宋_GB2312" w:eastAsia="仿宋_GB2312" w:cs="仿宋_GB2312"/>
          <w:b w:val="0"/>
          <w:bCs w:val="0"/>
          <w:color w:val="auto"/>
          <w:sz w:val="32"/>
          <w:szCs w:val="32"/>
          <w:u w:val="none"/>
        </w:rPr>
        <w:t>完善考生电子档案，确保考生数据准确、安全，加强高中阶段学校招生录取数据和学籍数据管理。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（二）</w:t>
      </w:r>
      <w:r>
        <w:rPr>
          <w:rFonts w:hint="eastAsia" w:ascii="仿宋_GB2312" w:hAnsi="仿宋_GB2312" w:eastAsia="仿宋_GB2312" w:cs="仿宋_GB2312"/>
          <w:b w:val="0"/>
          <w:bCs w:val="0"/>
          <w:color w:val="auto"/>
          <w:sz w:val="32"/>
          <w:szCs w:val="32"/>
          <w:u w:val="none"/>
        </w:rPr>
        <w:t>各级教育、招生部门和学校要严格执行招生计划，</w:t>
      </w:r>
      <w:r>
        <w:rPr>
          <w:rFonts w:hint="eastAsia" w:ascii="仿宋_GB2312" w:hAnsi="仿宋_GB2312" w:eastAsia="仿宋_GB2312" w:cs="仿宋_GB2312"/>
          <w:b w:val="0"/>
          <w:bCs w:val="0"/>
          <w:color w:val="auto"/>
          <w:sz w:val="32"/>
          <w:szCs w:val="32"/>
          <w:u w:val="none"/>
          <w:lang w:eastAsia="zh-CN"/>
        </w:rPr>
        <w:t>落实</w:t>
      </w:r>
      <w:r>
        <w:rPr>
          <w:rFonts w:hint="eastAsia" w:ascii="仿宋_GB2312" w:hAnsi="仿宋_GB2312" w:eastAsia="仿宋_GB2312" w:cs="仿宋_GB2312"/>
          <w:b w:val="0"/>
          <w:bCs w:val="0"/>
          <w:color w:val="auto"/>
          <w:sz w:val="32"/>
          <w:szCs w:val="32"/>
          <w:u w:val="none"/>
        </w:rPr>
        <w:t>工作责任制及责任追究制度，不得超计划、超班额招生</w:t>
      </w:r>
      <w:r>
        <w:rPr>
          <w:rFonts w:hint="eastAsia" w:ascii="仿宋_GB2312" w:hAnsi="仿宋_GB2312" w:eastAsia="仿宋_GB2312" w:cs="仿宋_GB2312"/>
          <w:b w:val="0"/>
          <w:bCs w:val="0"/>
          <w:color w:val="auto"/>
          <w:sz w:val="32"/>
          <w:szCs w:val="32"/>
          <w:u w:val="none"/>
          <w:lang w:val="en-US" w:eastAsia="zh-CN"/>
        </w:rPr>
        <w:t>和</w:t>
      </w:r>
      <w:r>
        <w:rPr>
          <w:rFonts w:hint="eastAsia" w:ascii="仿宋_GB2312" w:hAnsi="仿宋_GB2312" w:eastAsia="仿宋_GB2312" w:cs="仿宋_GB2312"/>
          <w:b w:val="0"/>
          <w:bCs w:val="0"/>
          <w:color w:val="auto"/>
          <w:sz w:val="32"/>
          <w:szCs w:val="32"/>
          <w:u w:val="none"/>
        </w:rPr>
        <w:t>无计划招生</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严禁违反</w:t>
      </w:r>
      <w:r>
        <w:rPr>
          <w:rFonts w:hint="eastAsia" w:ascii="仿宋_GB2312" w:hAnsi="仿宋_GB2312" w:eastAsia="仿宋_GB2312" w:cs="仿宋_GB2312"/>
          <w:b w:val="0"/>
          <w:bCs w:val="0"/>
          <w:color w:val="auto"/>
          <w:sz w:val="32"/>
          <w:szCs w:val="32"/>
          <w:u w:val="none"/>
        </w:rPr>
        <w:t>国家和省有关</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属地招生</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和</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公民同招</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公</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民办学校同步招生</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政策</w:t>
      </w:r>
      <w:r>
        <w:rPr>
          <w:rFonts w:hint="eastAsia" w:ascii="仿宋_GB2312" w:hAnsi="仿宋_GB2312" w:eastAsia="仿宋_GB2312" w:cs="仿宋_GB2312"/>
          <w:b w:val="0"/>
          <w:bCs w:val="0"/>
          <w:color w:val="auto"/>
          <w:sz w:val="32"/>
          <w:szCs w:val="32"/>
          <w:u w:val="none"/>
          <w:lang w:eastAsia="zh-CN"/>
        </w:rPr>
        <w:t>的</w:t>
      </w:r>
      <w:r>
        <w:rPr>
          <w:rFonts w:hint="eastAsia" w:ascii="仿宋_GB2312" w:hAnsi="仿宋_GB2312" w:eastAsia="仿宋_GB2312" w:cs="仿宋_GB2312"/>
          <w:b w:val="0"/>
          <w:bCs w:val="0"/>
          <w:color w:val="auto"/>
          <w:sz w:val="32"/>
          <w:szCs w:val="32"/>
          <w:u w:val="none"/>
          <w:lang w:val="en-US" w:eastAsia="zh-CN"/>
        </w:rPr>
        <w:t>行为，</w:t>
      </w:r>
      <w:r>
        <w:rPr>
          <w:rFonts w:hint="eastAsia" w:ascii="仿宋_GB2312" w:hAnsi="仿宋_GB2312" w:eastAsia="仿宋_GB2312" w:cs="仿宋_GB2312"/>
          <w:b w:val="0"/>
          <w:bCs w:val="0"/>
          <w:color w:val="auto"/>
          <w:sz w:val="32"/>
          <w:szCs w:val="32"/>
          <w:u w:val="none"/>
        </w:rPr>
        <w:t>坚决抵制市外教育机构在佛山违规招生</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严禁教职人员为各类违规行为提供任何便利。</w:t>
      </w:r>
      <w:r>
        <w:rPr>
          <w:rFonts w:hint="eastAsia" w:ascii="仿宋_GB2312" w:hAnsi="Calibri" w:eastAsia="仿宋_GB2312" w:cs="Times New Roman"/>
          <w:b w:val="0"/>
          <w:bCs w:val="0"/>
          <w:color w:val="auto"/>
          <w:sz w:val="32"/>
          <w:szCs w:val="32"/>
          <w:u w:val="none"/>
        </w:rPr>
        <w:t>未经市教育局批准列入招生计划的学校，不得擅自招生。</w:t>
      </w:r>
      <w:r>
        <w:rPr>
          <w:rFonts w:hint="eastAsia" w:ascii="仿宋_GB2312" w:hAnsi="Calibri" w:eastAsia="仿宋_GB2312" w:cs="Times New Roman"/>
          <w:b w:val="0"/>
          <w:bCs w:val="0"/>
          <w:color w:val="auto"/>
          <w:sz w:val="32"/>
          <w:szCs w:val="32"/>
          <w:u w:val="none"/>
          <w:lang w:eastAsia="zh-CN"/>
        </w:rPr>
        <w:t>未经省级</w:t>
      </w:r>
      <w:r>
        <w:rPr>
          <w:rFonts w:hint="eastAsia" w:ascii="仿宋_GB2312" w:hAnsi="Calibri" w:eastAsia="仿宋_GB2312" w:cs="Times New Roman"/>
          <w:b w:val="0"/>
          <w:bCs w:val="0"/>
          <w:color w:val="auto"/>
          <w:sz w:val="32"/>
          <w:szCs w:val="32"/>
          <w:u w:val="none"/>
          <w:lang w:val="en-US" w:eastAsia="zh-CN"/>
        </w:rPr>
        <w:t>教育厅</w:t>
      </w:r>
      <w:r>
        <w:rPr>
          <w:rFonts w:hint="eastAsia" w:ascii="仿宋_GB2312" w:hAnsi="Calibri" w:eastAsia="仿宋_GB2312" w:cs="Times New Roman"/>
          <w:b w:val="0"/>
          <w:bCs w:val="0"/>
          <w:color w:val="auto"/>
          <w:sz w:val="32"/>
          <w:szCs w:val="32"/>
          <w:u w:val="none"/>
          <w:lang w:eastAsia="zh-CN"/>
        </w:rPr>
        <w:t>批准</w:t>
      </w:r>
      <w:r>
        <w:rPr>
          <w:rFonts w:hint="eastAsia" w:ascii="仿宋_GB2312" w:hAnsi="Calibri" w:eastAsia="仿宋_GB2312" w:cs="Times New Roman"/>
          <w:b w:val="0"/>
          <w:bCs w:val="0"/>
          <w:color w:val="auto"/>
          <w:sz w:val="32"/>
          <w:szCs w:val="32"/>
          <w:u w:val="none"/>
        </w:rPr>
        <w:t>不得跨市招生。未经招生部门同意，任何单位和个人不得私自向招生学校提供考生资料。</w:t>
      </w:r>
      <w:r>
        <w:rPr>
          <w:rFonts w:hint="eastAsia" w:ascii="仿宋_GB2312" w:hAnsi="仿宋_GB2312" w:eastAsia="仿宋_GB2312" w:cs="仿宋_GB2312"/>
          <w:b w:val="0"/>
          <w:bCs w:val="0"/>
          <w:color w:val="auto"/>
          <w:sz w:val="32"/>
          <w:szCs w:val="32"/>
          <w:u w:val="none"/>
          <w:lang w:val="en-US" w:eastAsia="zh-CN"/>
        </w:rPr>
        <w:t>各区请提醒考生和家长：警惕所谓有关系的“招生骗子”，防止上当受骗，发现问题请及时举报。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rPr>
        <w:t>（三）深入推进阳光</w:t>
      </w:r>
      <w:r>
        <w:rPr>
          <w:rFonts w:hint="eastAsia" w:ascii="仿宋_GB2312" w:hAnsi="仿宋_GB2312" w:eastAsia="仿宋_GB2312" w:cs="仿宋_GB2312"/>
          <w:b w:val="0"/>
          <w:bCs w:val="0"/>
          <w:color w:val="auto"/>
          <w:sz w:val="32"/>
          <w:szCs w:val="32"/>
          <w:u w:val="none"/>
          <w:lang w:eastAsia="zh-CN"/>
        </w:rPr>
        <w:t>招生</w:t>
      </w:r>
      <w:r>
        <w:rPr>
          <w:rFonts w:hint="eastAsia" w:ascii="仿宋_GB2312" w:hAnsi="仿宋_GB2312" w:eastAsia="仿宋_GB2312" w:cs="仿宋_GB2312"/>
          <w:b w:val="0"/>
          <w:bCs w:val="0"/>
          <w:color w:val="auto"/>
          <w:sz w:val="32"/>
          <w:szCs w:val="32"/>
          <w:u w:val="none"/>
        </w:rPr>
        <w:t>，全面规范招生行为，维护良好教育生态。完善公开透明的招生工作机制，</w:t>
      </w:r>
      <w:r>
        <w:rPr>
          <w:rFonts w:hint="eastAsia" w:ascii="仿宋_GB2312" w:hAnsi="仿宋_GB2312" w:eastAsia="仿宋_GB2312" w:cs="仿宋_GB2312"/>
          <w:b w:val="0"/>
          <w:bCs w:val="0"/>
          <w:color w:val="auto"/>
          <w:sz w:val="32"/>
          <w:szCs w:val="32"/>
          <w:u w:val="none"/>
          <w:lang w:eastAsia="zh-CN"/>
        </w:rPr>
        <w:t>接受监督投诉。加强政策宣传，形成规范招生秩序的浓厚社会氛围。</w:t>
      </w:r>
      <w:r>
        <w:rPr>
          <w:rFonts w:hint="eastAsia" w:ascii="仿宋_GB2312" w:hAnsi="仿宋_GB2312" w:eastAsia="仿宋_GB2312" w:cs="仿宋_GB2312"/>
          <w:b w:val="0"/>
          <w:bCs w:val="0"/>
          <w:color w:val="auto"/>
          <w:sz w:val="32"/>
          <w:szCs w:val="32"/>
          <w:u w:val="none"/>
          <w:lang w:val="en-US" w:eastAsia="zh-CN"/>
        </w:rPr>
        <w:t>严格贯彻落实《佛山市人民政府教育督导委员会关于严明纪律规矩坚决遏制各类违规招生行为的通知》精神，</w:t>
      </w:r>
      <w:r>
        <w:rPr>
          <w:rFonts w:hint="eastAsia" w:ascii="仿宋_GB2312" w:hAnsi="仿宋_GB2312" w:eastAsia="仿宋_GB2312" w:cs="仿宋_GB2312"/>
          <w:b w:val="0"/>
          <w:bCs w:val="0"/>
          <w:color w:val="auto"/>
          <w:sz w:val="32"/>
          <w:szCs w:val="32"/>
          <w:u w:val="none"/>
          <w:lang w:eastAsia="zh-CN"/>
        </w:rPr>
        <w:t>各区要切实加大违规招生查处力度，对群众来电来信来访反映违规招生行为，要建立工作台账</w:t>
      </w:r>
      <w:r>
        <w:rPr>
          <w:rFonts w:hint="eastAsia" w:ascii="仿宋_GB2312" w:hAnsi="仿宋_GB2312" w:eastAsia="仿宋_GB2312" w:cs="仿宋_GB2312"/>
          <w:b w:val="0"/>
          <w:bCs w:val="0"/>
          <w:color w:val="auto"/>
          <w:sz w:val="32"/>
          <w:szCs w:val="32"/>
          <w:u w:val="none"/>
          <w:lang w:val="en-US" w:eastAsia="zh-CN"/>
        </w:rPr>
        <w:t>并</w:t>
      </w:r>
      <w:r>
        <w:rPr>
          <w:rFonts w:hint="eastAsia" w:ascii="仿宋_GB2312" w:hAnsi="仿宋_GB2312" w:eastAsia="仿宋_GB2312" w:cs="仿宋_GB2312"/>
          <w:b w:val="0"/>
          <w:bCs w:val="0"/>
          <w:color w:val="auto"/>
          <w:sz w:val="32"/>
          <w:szCs w:val="32"/>
          <w:u w:val="none"/>
          <w:lang w:eastAsia="zh-CN"/>
        </w:rPr>
        <w:t>核查处理。招生录取期间，市教育局实施跨区交叉督导检查制度，发现任何违规行为将依规严肃处理。</w:t>
      </w:r>
      <w:r>
        <w:rPr>
          <w:rFonts w:hint="eastAsia" w:ascii="仿宋_GB2312" w:hAnsi="仿宋_GB2312" w:eastAsia="仿宋_GB2312" w:cs="仿宋_GB2312"/>
          <w:b w:val="0"/>
          <w:bCs w:val="0"/>
          <w:color w:val="auto"/>
          <w:sz w:val="32"/>
          <w:szCs w:val="32"/>
          <w:u w:val="none"/>
          <w:lang w:val="en-US" w:eastAsia="zh-CN"/>
        </w:rPr>
        <w:t>各区各校不得以考试成绩和升学率作为衡量学校教学质量或考核教师的唯一标准，不得对学校的考试成绩排队，严禁炒作升学率和中考“状元”。招生学校不得发布误导或贬低其他学校的宣传资料，严禁以高额物资奖励、免收学费、虚假宣传等方式争抢生源</w:t>
      </w:r>
      <w:r>
        <w:rPr>
          <w:rFonts w:hint="eastAsia" w:ascii="仿宋_GB2312" w:hAnsi="仿宋_GB2312" w:eastAsia="仿宋_GB2312" w:cs="仿宋_GB2312"/>
          <w:b w:val="0"/>
          <w:bCs w:val="0"/>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（四）合理设置普通高中录取最低控制分数线，各招生学校按考生志愿、考试成绩和综合表现评定等择优录取。普通高中补录必须在系统征集志愿录取，严禁擅自组织录取。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rPr>
        <w:t>（五）任何单位或个人不得更改录取学校，不得对已被录取考生进行二次录取。录取后不报到的考生，视为放弃当年普通高中学校录取资格处理。严禁普通高中招收已被中等职业学校录取的学生。严禁违规招生行为和人籍分离现象，高中阶段学校根据招生部门审核的录取名单</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办理学籍审批手续。学籍审核</w:t>
      </w:r>
      <w:r>
        <w:rPr>
          <w:rFonts w:hint="eastAsia" w:ascii="仿宋_GB2312" w:hAnsi="Calibri" w:eastAsia="仿宋_GB2312" w:cs="Times New Roman"/>
          <w:b w:val="0"/>
          <w:bCs w:val="0"/>
          <w:color w:val="auto"/>
          <w:sz w:val="32"/>
          <w:szCs w:val="32"/>
          <w:u w:val="none"/>
          <w:lang w:eastAsia="zh-CN"/>
        </w:rPr>
        <w:t>科室</w:t>
      </w:r>
      <w:r>
        <w:rPr>
          <w:rFonts w:hint="eastAsia" w:ascii="仿宋_GB2312" w:hAnsi="Calibri" w:eastAsia="仿宋_GB2312" w:cs="Times New Roman"/>
          <w:b w:val="0"/>
          <w:bCs w:val="0"/>
          <w:color w:val="auto"/>
          <w:sz w:val="32"/>
          <w:szCs w:val="32"/>
          <w:u w:val="none"/>
        </w:rPr>
        <w:t>依据招生部门提供的录取名册建档，名册以外的名单不予受理。</w:t>
      </w:r>
      <w:r>
        <w:rPr>
          <w:rFonts w:hint="eastAsia" w:ascii="仿宋_GB2312" w:hAnsi="Calibri" w:eastAsia="仿宋_GB2312" w:cs="Times New Roman"/>
          <w:b w:val="0"/>
          <w:bCs w:val="0"/>
          <w:color w:val="auto"/>
          <w:sz w:val="32"/>
          <w:szCs w:val="32"/>
          <w:u w:val="none"/>
          <w:lang w:val="en-US" w:eastAsia="zh-CN"/>
        </w:rPr>
        <w:t>对已经建立本市学籍的学生，未经区级、市级教育部门审核同意不得转出外市。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（六）</w:t>
      </w:r>
      <w:r>
        <w:rPr>
          <w:rFonts w:hint="eastAsia" w:ascii="仿宋_GB2312" w:hAnsi="Calibri" w:eastAsia="仿宋_GB2312" w:cs="Times New Roman"/>
          <w:b w:val="0"/>
          <w:bCs w:val="0"/>
          <w:color w:val="auto"/>
          <w:sz w:val="32"/>
          <w:szCs w:val="32"/>
          <w:u w:val="none"/>
        </w:rPr>
        <w:t>严格执行国家</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省、市有关收费规定，</w:t>
      </w:r>
      <w:r>
        <w:rPr>
          <w:rFonts w:hint="eastAsia" w:ascii="仿宋_GB2312" w:hAnsi="Calibri" w:eastAsia="仿宋_GB2312" w:cs="Times New Roman"/>
          <w:b w:val="0"/>
          <w:bCs w:val="0"/>
          <w:color w:val="auto"/>
          <w:sz w:val="32"/>
          <w:szCs w:val="32"/>
          <w:u w:val="none"/>
          <w:lang w:eastAsia="zh-CN"/>
        </w:rPr>
        <w:t>各校</w:t>
      </w:r>
      <w:r>
        <w:rPr>
          <w:rFonts w:hint="eastAsia" w:ascii="仿宋_GB2312" w:hAnsi="Calibri" w:eastAsia="仿宋_GB2312" w:cs="Times New Roman"/>
          <w:b w:val="0"/>
          <w:bCs w:val="0"/>
          <w:color w:val="auto"/>
          <w:sz w:val="32"/>
          <w:szCs w:val="32"/>
          <w:u w:val="none"/>
        </w:rPr>
        <w:t>不得擅立收费项目和提高收费标准，严禁收取与招生入学挂钩的赞助费。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val="en-US" w:eastAsia="zh-CN"/>
        </w:rPr>
        <w:t>六</w:t>
      </w:r>
      <w:r>
        <w:rPr>
          <w:rFonts w:hint="eastAsia" w:ascii="黑体" w:hAnsi="Calibri" w:eastAsia="黑体" w:cs="Times New Roman"/>
          <w:b w:val="0"/>
          <w:bCs w:val="0"/>
          <w:color w:val="auto"/>
          <w:sz w:val="32"/>
          <w:szCs w:val="32"/>
          <w:u w:val="none"/>
        </w:rPr>
        <w:t>、</w:t>
      </w:r>
      <w:r>
        <w:rPr>
          <w:rFonts w:hint="eastAsia" w:ascii="黑体" w:hAnsi="Calibri" w:eastAsia="黑体" w:cs="Times New Roman"/>
          <w:b w:val="0"/>
          <w:bCs w:val="0"/>
          <w:color w:val="auto"/>
          <w:sz w:val="32"/>
          <w:szCs w:val="32"/>
          <w:u w:val="none"/>
          <w:lang w:val="en-US" w:eastAsia="zh-CN"/>
        </w:rPr>
        <w:t>加强</w:t>
      </w:r>
      <w:r>
        <w:rPr>
          <w:rFonts w:hint="eastAsia" w:ascii="黑体" w:hAnsi="Calibri" w:eastAsia="黑体" w:cs="Times New Roman"/>
          <w:b w:val="0"/>
          <w:bCs w:val="0"/>
          <w:color w:val="auto"/>
          <w:sz w:val="32"/>
          <w:szCs w:val="32"/>
          <w:u w:val="none"/>
        </w:rPr>
        <w:t>中等职业学校招生</w:t>
      </w:r>
      <w:r>
        <w:rPr>
          <w:rFonts w:hint="eastAsia" w:ascii="黑体" w:hAnsi="Calibri" w:eastAsia="黑体" w:cs="Times New Roman"/>
          <w:b w:val="0"/>
          <w:bCs w:val="0"/>
          <w:color w:val="auto"/>
          <w:sz w:val="32"/>
          <w:szCs w:val="32"/>
          <w:u w:val="none"/>
          <w:lang w:val="en-US" w:eastAsia="zh-CN"/>
        </w:rPr>
        <w:t>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（一）各区要</w:t>
      </w:r>
      <w:r>
        <w:rPr>
          <w:rFonts w:hint="eastAsia" w:ascii="仿宋_GB2312" w:hAnsi="Calibri" w:eastAsia="仿宋_GB2312" w:cs="Times New Roman"/>
          <w:b w:val="0"/>
          <w:bCs w:val="0"/>
          <w:color w:val="auto"/>
          <w:sz w:val="32"/>
          <w:szCs w:val="32"/>
          <w:u w:val="none"/>
          <w:lang w:eastAsia="zh-CN"/>
        </w:rPr>
        <w:t>结合中职招生计划任务，</w:t>
      </w:r>
      <w:r>
        <w:rPr>
          <w:rFonts w:hint="eastAsia" w:ascii="仿宋_GB2312" w:hAnsi="Calibri" w:eastAsia="仿宋_GB2312" w:cs="Times New Roman"/>
          <w:b w:val="0"/>
          <w:bCs w:val="0"/>
          <w:color w:val="auto"/>
          <w:sz w:val="32"/>
          <w:szCs w:val="32"/>
          <w:u w:val="none"/>
        </w:rPr>
        <w:t>加强与相关职能部门联系，采取调整规划、加快项目建设、落实经费保障等措施，扩大职业教育学位资源供给。</w:t>
      </w:r>
      <w:r>
        <w:rPr>
          <w:rFonts w:hint="eastAsia" w:ascii="仿宋_GB2312" w:hAnsi="Calibri" w:eastAsia="仿宋_GB2312" w:cs="Times New Roman"/>
          <w:b w:val="0"/>
          <w:bCs w:val="0"/>
          <w:color w:val="auto"/>
          <w:sz w:val="32"/>
          <w:szCs w:val="32"/>
          <w:u w:val="none"/>
          <w:lang w:val="en-US" w:eastAsia="zh-CN"/>
        </w:rPr>
        <w:t>探索</w:t>
      </w:r>
      <w:r>
        <w:rPr>
          <w:rFonts w:hint="eastAsia" w:ascii="仿宋_GB2312" w:hAnsi="Calibri" w:eastAsia="仿宋_GB2312" w:cs="Times New Roman"/>
          <w:b w:val="0"/>
          <w:bCs w:val="0"/>
          <w:color w:val="auto"/>
          <w:sz w:val="32"/>
          <w:szCs w:val="32"/>
          <w:u w:val="none"/>
          <w:lang w:eastAsia="zh-CN"/>
        </w:rPr>
        <w:t>中等职业学校对接本科高等院校贯通培养试点班招生，为国家培养高素质技能人才。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（二）</w:t>
      </w:r>
      <w:r>
        <w:rPr>
          <w:rFonts w:hint="eastAsia" w:ascii="仿宋_GB2312" w:hAnsi="Calibri" w:eastAsia="仿宋_GB2312" w:cs="Times New Roman"/>
          <w:b w:val="0"/>
          <w:bCs w:val="0"/>
          <w:color w:val="auto"/>
          <w:sz w:val="32"/>
          <w:szCs w:val="32"/>
          <w:u w:val="none"/>
          <w:lang w:val="en-US" w:eastAsia="zh-CN"/>
        </w:rPr>
        <w:t>加强考生填报中职学校志愿服务和引导，提高志愿录取成功率。</w:t>
      </w:r>
      <w:r>
        <w:rPr>
          <w:rFonts w:hint="eastAsia" w:ascii="仿宋_GB2312" w:hAnsi="仿宋_GB2312" w:eastAsia="仿宋_GB2312" w:cs="仿宋_GB2312"/>
          <w:b w:val="0"/>
          <w:bCs w:val="0"/>
          <w:color w:val="auto"/>
          <w:sz w:val="32"/>
          <w:szCs w:val="32"/>
          <w:u w:val="none"/>
          <w:lang w:eastAsia="zh-CN"/>
        </w:rPr>
        <w:t>严禁初中学校提前分流学生到中职（技工）学校，严禁所有高中阶段学校提前在春季学期招收应届毕业生。</w:t>
      </w:r>
      <w:r>
        <w:rPr>
          <w:rFonts w:hint="eastAsia" w:ascii="仿宋_GB2312" w:hAnsi="Calibri" w:eastAsia="仿宋_GB2312" w:cs="Times New Roman"/>
          <w:b w:val="0"/>
          <w:bCs w:val="0"/>
          <w:color w:val="auto"/>
          <w:sz w:val="32"/>
          <w:szCs w:val="32"/>
          <w:u w:val="none"/>
        </w:rPr>
        <w:t>中职学校须优先录取当年参加中考的考生，本市中考</w:t>
      </w:r>
      <w:r>
        <w:rPr>
          <w:rFonts w:hint="eastAsia" w:ascii="仿宋_GB2312" w:hAnsi="Calibri" w:eastAsia="仿宋_GB2312" w:cs="Times New Roman"/>
          <w:b w:val="0"/>
          <w:bCs w:val="0"/>
          <w:color w:val="auto"/>
          <w:sz w:val="32"/>
          <w:szCs w:val="32"/>
          <w:u w:val="none"/>
          <w:lang w:val="en-US" w:eastAsia="zh-CN"/>
        </w:rPr>
        <w:t>录取结束仍无去向</w:t>
      </w:r>
      <w:r>
        <w:rPr>
          <w:rFonts w:hint="eastAsia" w:ascii="仿宋_GB2312" w:hAnsi="Calibri" w:eastAsia="仿宋_GB2312" w:cs="Times New Roman"/>
          <w:b w:val="0"/>
          <w:bCs w:val="0"/>
          <w:color w:val="auto"/>
          <w:sz w:val="32"/>
          <w:szCs w:val="32"/>
          <w:u w:val="none"/>
        </w:rPr>
        <w:t>考生，有</w:t>
      </w:r>
      <w:r>
        <w:rPr>
          <w:rFonts w:hint="eastAsia" w:ascii="仿宋_GB2312" w:hAnsi="Calibri" w:eastAsia="仿宋_GB2312" w:cs="Times New Roman"/>
          <w:b w:val="0"/>
          <w:bCs w:val="0"/>
          <w:color w:val="auto"/>
          <w:sz w:val="32"/>
          <w:szCs w:val="32"/>
          <w:u w:val="none"/>
          <w:lang w:val="en-US" w:eastAsia="zh-CN"/>
        </w:rPr>
        <w:t>意愿</w:t>
      </w:r>
      <w:r>
        <w:rPr>
          <w:rFonts w:hint="eastAsia" w:ascii="仿宋_GB2312" w:hAnsi="Calibri" w:eastAsia="仿宋_GB2312" w:cs="Times New Roman"/>
          <w:b w:val="0"/>
          <w:bCs w:val="0"/>
          <w:color w:val="auto"/>
          <w:sz w:val="32"/>
          <w:szCs w:val="32"/>
          <w:u w:val="none"/>
        </w:rPr>
        <w:t>到中等职业学校就读且招生学校仍缺额的，可实行集中录取、多次补录等灵活多样的招生办法，具体补录办法由各区根据实际制定并报市招生部门备案。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三</w:t>
      </w:r>
      <w:r>
        <w:rPr>
          <w:rFonts w:hint="eastAsia" w:ascii="仿宋_GB2312" w:hAnsi="Calibri" w:eastAsia="仿宋_GB2312" w:cs="Times New Roman"/>
          <w:b w:val="0"/>
          <w:bCs w:val="0"/>
          <w:color w:val="auto"/>
          <w:sz w:val="32"/>
          <w:szCs w:val="32"/>
          <w:u w:val="none"/>
        </w:rPr>
        <w:t>）中职学校凭市、区招生部门审核的录取名单，按照属地管理原则，到所在地教育或人社部门办理相关学籍审批手续。凡需报省备案的中职学校新生录取名册，由市招生部门统一审核，按省规定办理有关手续。加强市中考管理系统和省中招服务平台衔接，市教育局在</w:t>
      </w:r>
      <w:r>
        <w:rPr>
          <w:rFonts w:hint="eastAsia" w:ascii="仿宋_GB2312" w:hAnsi="Calibri" w:eastAsia="仿宋_GB2312" w:cs="Times New Roman"/>
          <w:b w:val="0"/>
          <w:bCs w:val="0"/>
          <w:color w:val="auto"/>
          <w:sz w:val="32"/>
          <w:szCs w:val="32"/>
          <w:u w:val="none"/>
          <w:lang w:eastAsia="zh-CN"/>
        </w:rPr>
        <w:t>各批次</w:t>
      </w:r>
      <w:r>
        <w:rPr>
          <w:rFonts w:hint="eastAsia" w:ascii="仿宋_GB2312" w:hAnsi="Calibri" w:eastAsia="仿宋_GB2312" w:cs="Times New Roman"/>
          <w:b w:val="0"/>
          <w:bCs w:val="0"/>
          <w:color w:val="auto"/>
          <w:sz w:val="32"/>
          <w:szCs w:val="32"/>
          <w:u w:val="none"/>
        </w:rPr>
        <w:t>录取后将相关数据统一导入省中招服务平台，各中职学校转为通过省中招服务平台进行后续操作。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val="en-US" w:eastAsia="zh-CN"/>
        </w:rPr>
        <w:t>七</w:t>
      </w:r>
      <w:r>
        <w:rPr>
          <w:rFonts w:hint="eastAsia" w:ascii="黑体" w:hAnsi="Calibri" w:eastAsia="黑体" w:cs="Times New Roman"/>
          <w:b w:val="0"/>
          <w:bCs w:val="0"/>
          <w:color w:val="auto"/>
          <w:sz w:val="32"/>
          <w:szCs w:val="32"/>
          <w:u w:val="none"/>
        </w:rPr>
        <w:t>、其他相关要求</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（一）贯彻落实</w:t>
      </w:r>
      <w:r>
        <w:rPr>
          <w:rFonts w:hint="eastAsia" w:ascii="仿宋_GB2312" w:hAnsi="Calibri" w:eastAsia="仿宋_GB2312" w:cs="Times New Roman"/>
          <w:b w:val="0"/>
          <w:bCs w:val="0"/>
          <w:color w:val="auto"/>
          <w:sz w:val="32"/>
          <w:szCs w:val="32"/>
          <w:u w:val="none"/>
          <w:lang w:val="en-US" w:eastAsia="zh-CN"/>
        </w:rPr>
        <w:t>考务管理</w:t>
      </w:r>
      <w:r>
        <w:rPr>
          <w:rFonts w:hint="eastAsia" w:ascii="仿宋_GB2312" w:hAnsi="Calibri" w:eastAsia="仿宋_GB2312" w:cs="Times New Roman"/>
          <w:b w:val="0"/>
          <w:bCs w:val="0"/>
          <w:color w:val="auto"/>
          <w:sz w:val="32"/>
          <w:szCs w:val="32"/>
          <w:u w:val="none"/>
        </w:rPr>
        <w:t>规定，制定应急预案，加强考务人员培训，有效开展应急演练，落实考点考场设备设施</w:t>
      </w:r>
      <w:r>
        <w:rPr>
          <w:rFonts w:hint="eastAsia" w:ascii="仿宋_GB2312" w:hAnsi="Calibri" w:eastAsia="仿宋_GB2312" w:cs="Times New Roman"/>
          <w:b w:val="0"/>
          <w:bCs w:val="0"/>
          <w:color w:val="auto"/>
          <w:sz w:val="32"/>
          <w:szCs w:val="32"/>
          <w:u w:val="none"/>
          <w:lang w:val="en-US" w:eastAsia="zh-CN"/>
        </w:rPr>
        <w:t>维护</w:t>
      </w:r>
      <w:r>
        <w:rPr>
          <w:rFonts w:hint="eastAsia" w:ascii="仿宋_GB2312" w:hAnsi="Calibri" w:eastAsia="仿宋_GB2312" w:cs="Times New Roman"/>
          <w:b w:val="0"/>
          <w:bCs w:val="0"/>
          <w:color w:val="auto"/>
          <w:sz w:val="32"/>
          <w:szCs w:val="32"/>
          <w:u w:val="none"/>
        </w:rPr>
        <w:t>，细化考试</w:t>
      </w:r>
      <w:r>
        <w:rPr>
          <w:rFonts w:hint="eastAsia" w:ascii="仿宋_GB2312" w:hAnsi="Calibri" w:eastAsia="仿宋_GB2312" w:cs="Times New Roman"/>
          <w:b w:val="0"/>
          <w:bCs w:val="0"/>
          <w:color w:val="auto"/>
          <w:sz w:val="32"/>
          <w:szCs w:val="32"/>
          <w:u w:val="none"/>
          <w:lang w:val="en-US" w:eastAsia="zh-CN"/>
        </w:rPr>
        <w:t>操作</w:t>
      </w:r>
      <w:r>
        <w:rPr>
          <w:rFonts w:hint="eastAsia" w:ascii="仿宋_GB2312" w:hAnsi="Calibri" w:eastAsia="仿宋_GB2312" w:cs="Times New Roman"/>
          <w:b w:val="0"/>
          <w:bCs w:val="0"/>
          <w:color w:val="auto"/>
          <w:sz w:val="32"/>
          <w:szCs w:val="32"/>
          <w:u w:val="none"/>
        </w:rPr>
        <w:t>流程，降低</w:t>
      </w:r>
      <w:r>
        <w:rPr>
          <w:rFonts w:hint="eastAsia" w:ascii="仿宋_GB2312" w:hAnsi="Calibri" w:eastAsia="仿宋_GB2312" w:cs="Times New Roman"/>
          <w:b w:val="0"/>
          <w:bCs w:val="0"/>
          <w:color w:val="auto"/>
          <w:sz w:val="32"/>
          <w:szCs w:val="32"/>
          <w:u w:val="none"/>
          <w:lang w:val="en-US" w:eastAsia="zh-CN"/>
        </w:rPr>
        <w:t>涉考事故</w:t>
      </w:r>
      <w:r>
        <w:rPr>
          <w:rFonts w:hint="eastAsia" w:ascii="仿宋_GB2312" w:hAnsi="Calibri" w:eastAsia="仿宋_GB2312" w:cs="Times New Roman"/>
          <w:b w:val="0"/>
          <w:bCs w:val="0"/>
          <w:color w:val="auto"/>
          <w:sz w:val="32"/>
          <w:szCs w:val="32"/>
          <w:u w:val="none"/>
        </w:rPr>
        <w:t>风险。严格落实保密</w:t>
      </w:r>
      <w:r>
        <w:rPr>
          <w:rFonts w:hint="eastAsia" w:ascii="仿宋_GB2312" w:hAnsi="Calibri" w:eastAsia="仿宋_GB2312" w:cs="Times New Roman"/>
          <w:b w:val="0"/>
          <w:bCs w:val="0"/>
          <w:color w:val="auto"/>
          <w:sz w:val="32"/>
          <w:szCs w:val="32"/>
          <w:u w:val="none"/>
          <w:lang w:eastAsia="zh-CN"/>
        </w:rPr>
        <w:t>制度</w:t>
      </w:r>
      <w:r>
        <w:rPr>
          <w:rFonts w:hint="eastAsia" w:ascii="仿宋_GB2312" w:hAnsi="Calibri" w:eastAsia="仿宋_GB2312" w:cs="Times New Roman"/>
          <w:b w:val="0"/>
          <w:bCs w:val="0"/>
          <w:color w:val="auto"/>
          <w:sz w:val="32"/>
          <w:szCs w:val="32"/>
          <w:u w:val="none"/>
        </w:rPr>
        <w:t>，加强人员管理，做好试卷运输、保管、领取、使用等各环节安全保密工作。强化考生考风考纪教育，落实巡考制度。</w:t>
      </w:r>
      <w:r>
        <w:rPr>
          <w:rFonts w:hint="eastAsia" w:ascii="仿宋_GB2312" w:hAnsi="Calibri" w:eastAsia="仿宋_GB2312" w:cs="Times New Roman"/>
          <w:b w:val="0"/>
          <w:bCs w:val="0"/>
          <w:color w:val="auto"/>
          <w:sz w:val="32"/>
          <w:szCs w:val="32"/>
          <w:u w:val="none"/>
          <w:lang w:eastAsia="zh-CN"/>
        </w:rPr>
        <w:t>创设条件</w:t>
      </w:r>
      <w:r>
        <w:rPr>
          <w:rFonts w:hint="eastAsia" w:ascii="仿宋_GB2312" w:hAnsi="Calibri" w:eastAsia="仿宋_GB2312" w:cs="Times New Roman"/>
          <w:b w:val="0"/>
          <w:bCs w:val="0"/>
          <w:color w:val="auto"/>
          <w:sz w:val="32"/>
          <w:szCs w:val="32"/>
          <w:u w:val="none"/>
        </w:rPr>
        <w:t>为残疾考生提供必要条件和合理便利</w:t>
      </w:r>
      <w:r>
        <w:rPr>
          <w:rFonts w:hint="eastAsia" w:ascii="仿宋_GB2312" w:hAnsi="Calibri" w:eastAsia="仿宋_GB2312" w:cs="Times New Roman"/>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二</w:t>
      </w:r>
      <w:r>
        <w:rPr>
          <w:rFonts w:hint="eastAsia" w:ascii="仿宋_GB2312" w:hAnsi="Calibri" w:eastAsia="仿宋_GB2312" w:cs="Times New Roman"/>
          <w:b w:val="0"/>
          <w:bCs w:val="0"/>
          <w:color w:val="auto"/>
          <w:sz w:val="32"/>
          <w:szCs w:val="32"/>
          <w:u w:val="none"/>
        </w:rPr>
        <w:t>）积极推进</w:t>
      </w:r>
      <w:r>
        <w:rPr>
          <w:rFonts w:hint="eastAsia" w:ascii="仿宋_GB2312" w:hAnsi="Calibri" w:eastAsia="仿宋_GB2312" w:cs="Times New Roman"/>
          <w:b w:val="0"/>
          <w:bCs w:val="0"/>
          <w:color w:val="auto"/>
          <w:sz w:val="32"/>
          <w:szCs w:val="32"/>
          <w:u w:val="none"/>
          <w:lang w:val="en-US" w:eastAsia="zh-CN"/>
        </w:rPr>
        <w:t>招生考试信息化</w:t>
      </w:r>
      <w:r>
        <w:rPr>
          <w:rFonts w:hint="eastAsia" w:ascii="仿宋_GB2312" w:hAnsi="Calibri" w:eastAsia="仿宋_GB2312" w:cs="Times New Roman"/>
          <w:b w:val="0"/>
          <w:bCs w:val="0"/>
          <w:color w:val="auto"/>
          <w:sz w:val="32"/>
          <w:szCs w:val="32"/>
          <w:u w:val="none"/>
        </w:rPr>
        <w:t>建设</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推进信息技术赋能考试评价改革，及时做好新增考点建设或原有考点改造的预算和立项工作，加快推进</w:t>
      </w:r>
      <w:r>
        <w:rPr>
          <w:rFonts w:hint="eastAsia" w:ascii="仿宋_GB2312" w:hAnsi="Calibri" w:eastAsia="仿宋_GB2312" w:cs="Times New Roman"/>
          <w:b w:val="0"/>
          <w:bCs w:val="0"/>
          <w:color w:val="auto"/>
          <w:sz w:val="32"/>
          <w:szCs w:val="32"/>
          <w:u w:val="none"/>
          <w:lang w:val="en-US" w:eastAsia="zh-CN"/>
        </w:rPr>
        <w:t>标准化考点建设，深化</w:t>
      </w:r>
      <w:r>
        <w:rPr>
          <w:rFonts w:hint="eastAsia" w:ascii="仿宋_GB2312" w:hAnsi="Calibri" w:eastAsia="仿宋_GB2312" w:cs="Times New Roman"/>
          <w:b w:val="0"/>
          <w:bCs w:val="0"/>
          <w:color w:val="auto"/>
          <w:sz w:val="32"/>
          <w:szCs w:val="32"/>
          <w:u w:val="none"/>
        </w:rPr>
        <w:t>考点电子监控系统和网上巡查系统建设。</w:t>
      </w:r>
      <w:r>
        <w:rPr>
          <w:rFonts w:hint="eastAsia" w:ascii="仿宋_GB2312" w:hAnsi="Calibri" w:eastAsia="仿宋_GB2312" w:cs="Times New Roman"/>
          <w:b w:val="0"/>
          <w:bCs w:val="0"/>
          <w:color w:val="auto"/>
          <w:sz w:val="32"/>
          <w:szCs w:val="32"/>
          <w:u w:val="none"/>
          <w:lang w:eastAsia="zh-CN"/>
        </w:rPr>
        <w:t>简化报考审批审核手续流程，实行</w:t>
      </w:r>
      <w:r>
        <w:rPr>
          <w:rFonts w:hint="eastAsia" w:ascii="仿宋_GB2312" w:hAnsi="Calibri" w:eastAsia="仿宋_GB2312" w:cs="Times New Roman"/>
          <w:b w:val="0"/>
          <w:bCs w:val="0"/>
          <w:color w:val="auto"/>
          <w:sz w:val="32"/>
          <w:szCs w:val="32"/>
          <w:u w:val="none"/>
        </w:rPr>
        <w:t>部门数据共享联审</w:t>
      </w:r>
      <w:r>
        <w:rPr>
          <w:rFonts w:hint="eastAsia" w:ascii="仿宋_GB2312" w:hAnsi="Calibri" w:eastAsia="仿宋_GB2312" w:cs="Times New Roman"/>
          <w:b w:val="0"/>
          <w:bCs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1918" w:leftChars="304" w:right="0" w:rightChars="0" w:hanging="1280" w:hangingChars="400"/>
        <w:jc w:val="both"/>
        <w:textAlignment w:val="auto"/>
        <w:outlineLvl w:val="9"/>
        <w:rPr>
          <w:rFonts w:hint="eastAsia" w:ascii="仿宋_GB2312" w:hAnsi="Calibri" w:eastAsia="仿宋_GB2312" w:cs="Times New Roman"/>
          <w:b w:val="0"/>
          <w:bCs w:val="0"/>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right="0" w:rightChars="0" w:hanging="1280" w:hangingChars="4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附件：1.佛山市</w:t>
      </w:r>
      <w:r>
        <w:rPr>
          <w:rFonts w:hint="eastAsia" w:ascii="仿宋_GB2312" w:hAnsi="Calibri" w:eastAsia="仿宋_GB2312" w:cs="Times New Roman"/>
          <w:b w:val="0"/>
          <w:bCs w:val="0"/>
          <w:color w:val="auto"/>
          <w:sz w:val="32"/>
          <w:szCs w:val="32"/>
          <w:u w:val="none"/>
          <w:lang w:eastAsia="zh-CN"/>
        </w:rPr>
        <w:t>2025</w:t>
      </w:r>
      <w:r>
        <w:rPr>
          <w:rFonts w:hint="eastAsia" w:ascii="仿宋_GB2312" w:hAnsi="Calibri" w:eastAsia="仿宋_GB2312" w:cs="Times New Roman"/>
          <w:b w:val="0"/>
          <w:bCs w:val="0"/>
          <w:color w:val="auto"/>
          <w:sz w:val="32"/>
          <w:szCs w:val="32"/>
          <w:u w:val="none"/>
        </w:rPr>
        <w:t>年初中学业水平考试时间安排</w:t>
      </w:r>
    </w:p>
    <w:p>
      <w:pPr>
        <w:keepNext w:val="0"/>
        <w:keepLines w:val="0"/>
        <w:pageBreakBefore w:val="0"/>
        <w:widowControl w:val="0"/>
        <w:kinsoku/>
        <w:wordWrap/>
        <w:overflowPunct/>
        <w:topLinePunct w:val="0"/>
        <w:autoSpaceDE/>
        <w:autoSpaceDN/>
        <w:bidi w:val="0"/>
        <w:adjustRightInd/>
        <w:snapToGrid/>
        <w:spacing w:line="560" w:lineRule="exact"/>
        <w:ind w:left="1895" w:leftChars="761" w:right="0" w:rightChars="0" w:hanging="297" w:hangingChars="93"/>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rPr>
        <w:t>.佛山市</w:t>
      </w:r>
      <w:r>
        <w:rPr>
          <w:rFonts w:hint="eastAsia" w:ascii="仿宋_GB2312" w:hAnsi="Calibri" w:eastAsia="仿宋_GB2312" w:cs="Times New Roman"/>
          <w:b w:val="0"/>
          <w:bCs w:val="0"/>
          <w:color w:val="auto"/>
          <w:sz w:val="32"/>
          <w:szCs w:val="32"/>
          <w:u w:val="none"/>
          <w:lang w:eastAsia="zh-CN"/>
        </w:rPr>
        <w:t>2025</w:t>
      </w:r>
      <w:r>
        <w:rPr>
          <w:rFonts w:hint="eastAsia" w:ascii="仿宋_GB2312" w:hAnsi="Calibri" w:eastAsia="仿宋_GB2312" w:cs="Times New Roman"/>
          <w:b w:val="0"/>
          <w:bCs w:val="0"/>
          <w:color w:val="auto"/>
          <w:sz w:val="32"/>
          <w:szCs w:val="32"/>
          <w:u w:val="none"/>
        </w:rPr>
        <w:t>年高中阶段学校招生计划设置和录取办法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 xml:space="preserve">      </w:t>
      </w:r>
      <w:r>
        <w:rPr>
          <w:rFonts w:hint="eastAsia" w:ascii="仿宋_GB2312" w:hAnsi="Calibri" w:eastAsia="仿宋_GB2312" w:cs="Times New Roman"/>
          <w:b w:val="0"/>
          <w:bCs w:val="0"/>
          <w:color w:val="auto"/>
          <w:sz w:val="32"/>
          <w:szCs w:val="32"/>
          <w:u w:val="none"/>
          <w:lang w:val="en-US" w:eastAsia="zh-CN"/>
        </w:rPr>
        <w:t>3</w:t>
      </w:r>
      <w:r>
        <w:rPr>
          <w:rFonts w:hint="eastAsia" w:ascii="仿宋_GB2312" w:hAnsi="Calibri" w:eastAsia="仿宋_GB2312" w:cs="Times New Roman"/>
          <w:b w:val="0"/>
          <w:bCs w:val="0"/>
          <w:color w:val="auto"/>
          <w:sz w:val="32"/>
          <w:szCs w:val="32"/>
          <w:u w:val="none"/>
        </w:rPr>
        <w:t>.佛山市</w:t>
      </w:r>
      <w:r>
        <w:rPr>
          <w:rFonts w:hint="eastAsia" w:ascii="仿宋_GB2312" w:hAnsi="Calibri" w:eastAsia="仿宋_GB2312" w:cs="Times New Roman"/>
          <w:b w:val="0"/>
          <w:bCs w:val="0"/>
          <w:color w:val="auto"/>
          <w:sz w:val="32"/>
          <w:szCs w:val="32"/>
          <w:u w:val="none"/>
          <w:lang w:eastAsia="zh-CN"/>
        </w:rPr>
        <w:t>2025</w:t>
      </w:r>
      <w:r>
        <w:rPr>
          <w:rFonts w:hint="eastAsia" w:ascii="仿宋_GB2312" w:hAnsi="Calibri" w:eastAsia="仿宋_GB2312" w:cs="Times New Roman"/>
          <w:b w:val="0"/>
          <w:bCs w:val="0"/>
          <w:color w:val="auto"/>
          <w:sz w:val="32"/>
          <w:szCs w:val="32"/>
          <w:u w:val="none"/>
        </w:rPr>
        <w:t>年高中阶段学校招生工作日程安排表</w:t>
      </w:r>
    </w:p>
    <w:p>
      <w:pPr>
        <w:keepNext w:val="0"/>
        <w:keepLines w:val="0"/>
        <w:pageBreakBefore w:val="0"/>
        <w:widowControl w:val="0"/>
        <w:kinsoku/>
        <w:wordWrap/>
        <w:overflowPunct/>
        <w:topLinePunct w:val="0"/>
        <w:autoSpaceDE/>
        <w:autoSpaceDN/>
        <w:bidi w:val="0"/>
        <w:adjustRightInd/>
        <w:snapToGrid/>
        <w:spacing w:line="560" w:lineRule="exact"/>
        <w:ind w:left="1918" w:leftChars="304" w:right="0" w:rightChars="0" w:hanging="1280" w:hangingChars="400"/>
        <w:jc w:val="both"/>
        <w:textAlignment w:val="auto"/>
        <w:outlineLvl w:val="9"/>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 xml:space="preserve">      </w:t>
      </w:r>
      <w:r>
        <w:rPr>
          <w:rFonts w:hint="eastAsia" w:ascii="仿宋_GB2312" w:hAnsi="Calibri" w:eastAsia="仿宋_GB2312" w:cs="Times New Roman"/>
          <w:b w:val="0"/>
          <w:bCs w:val="0"/>
          <w:color w:val="auto"/>
          <w:sz w:val="32"/>
          <w:szCs w:val="32"/>
          <w:u w:val="none"/>
          <w:lang w:val="en-US" w:eastAsia="zh-CN"/>
        </w:rPr>
        <w:t>4</w:t>
      </w:r>
      <w:r>
        <w:rPr>
          <w:rFonts w:hint="eastAsia" w:ascii="仿宋_GB2312" w:hAnsi="Calibri" w:eastAsia="仿宋_GB2312" w:cs="Times New Roman"/>
          <w:b w:val="0"/>
          <w:bCs w:val="0"/>
          <w:color w:val="auto"/>
          <w:sz w:val="32"/>
          <w:szCs w:val="32"/>
          <w:u w:val="none"/>
        </w:rPr>
        <w:t>.佛山市2025年高中阶段学校招生非本市户籍考生</w:t>
      </w:r>
      <w:r>
        <w:rPr>
          <w:rFonts w:hint="eastAsia" w:ascii="仿宋_GB2312" w:hAnsi="Calibri" w:eastAsia="仿宋_GB2312" w:cs="Times New Roman"/>
          <w:b w:val="0"/>
          <w:bCs w:val="0"/>
          <w:color w:val="auto"/>
          <w:sz w:val="32"/>
          <w:szCs w:val="32"/>
          <w:u w:val="none"/>
          <w:lang w:val="en-US" w:eastAsia="zh-CN"/>
        </w:rPr>
        <w:t>报考</w:t>
      </w:r>
      <w:r>
        <w:rPr>
          <w:rFonts w:hint="eastAsia" w:ascii="仿宋_GB2312" w:hAnsi="Calibri" w:eastAsia="仿宋_GB2312" w:cs="Times New Roman"/>
          <w:b w:val="0"/>
          <w:bCs w:val="0"/>
          <w:color w:val="auto"/>
          <w:sz w:val="32"/>
          <w:szCs w:val="32"/>
          <w:u w:val="none"/>
        </w:rPr>
        <w:t>资格</w:t>
      </w:r>
      <w:r>
        <w:rPr>
          <w:rFonts w:hint="eastAsia" w:ascii="仿宋_GB2312" w:hAnsi="Calibri" w:eastAsia="仿宋_GB2312" w:cs="Times New Roman"/>
          <w:b w:val="0"/>
          <w:bCs w:val="0"/>
          <w:color w:val="auto"/>
          <w:sz w:val="32"/>
          <w:szCs w:val="32"/>
          <w:u w:val="none"/>
          <w:lang w:val="en-US" w:eastAsia="zh-CN"/>
        </w:rPr>
        <w:t>认定</w:t>
      </w:r>
      <w:r>
        <w:rPr>
          <w:rFonts w:hint="eastAsia" w:ascii="仿宋_GB2312" w:hAnsi="Calibri" w:eastAsia="仿宋_GB2312" w:cs="Times New Roman"/>
          <w:b w:val="0"/>
          <w:bCs w:val="0"/>
          <w:color w:val="auto"/>
          <w:sz w:val="32"/>
          <w:szCs w:val="32"/>
          <w:u w:val="none"/>
        </w:rPr>
        <w:t>条件表</w:t>
      </w:r>
    </w:p>
    <w:p>
      <w:pPr>
        <w:snapToGrid w:val="0"/>
        <w:spacing w:line="560" w:lineRule="exact"/>
        <w:jc w:val="left"/>
        <w:rPr>
          <w:b w:val="0"/>
          <w:bCs w:val="0"/>
          <w:sz w:val="32"/>
          <w:u w:val="none"/>
        </w:rPr>
      </w:pPr>
    </w:p>
    <w:p>
      <w:pPr>
        <w:spacing w:line="240" w:lineRule="auto"/>
        <w:jc w:val="left"/>
        <w:rPr>
          <w:rFonts w:hint="eastAsia" w:ascii="黑体" w:hAnsi="黑体" w:eastAsia="黑体" w:cs="黑体"/>
          <w:sz w:val="32"/>
          <w:szCs w:val="32"/>
        </w:rPr>
      </w:pPr>
      <w:r>
        <w:rPr>
          <w:rFonts w:hint="eastAsia" w:ascii="黑体" w:hAnsi="黑体" w:eastAsia="黑体" w:cs="黑体"/>
          <w:sz w:val="32"/>
          <w:szCs w:val="32"/>
        </w:rPr>
        <w:br w:type="page"/>
      </w:r>
    </w:p>
    <w:p>
      <w:pPr>
        <w:spacing w:line="540" w:lineRule="exact"/>
        <w:jc w:val="left"/>
        <w:rPr>
          <w:rFonts w:hint="eastAsia" w:ascii="黑体" w:hAnsi="黑体" w:eastAsia="黑体" w:cs="黑体"/>
          <w:sz w:val="32"/>
          <w:szCs w:val="32"/>
        </w:rPr>
      </w:pPr>
      <w:r>
        <w:rPr>
          <w:rFonts w:hint="eastAsia" w:ascii="黑体" w:hAnsi="黑体" w:eastAsia="黑体" w:cs="黑体"/>
          <w:sz w:val="32"/>
          <w:szCs w:val="32"/>
        </w:rPr>
        <w:t>附件1</w:t>
      </w:r>
    </w:p>
    <w:p>
      <w:pPr>
        <w:spacing w:line="540" w:lineRule="exact"/>
        <w:jc w:val="left"/>
        <w:rPr>
          <w:rFonts w:hint="eastAsia" w:ascii="仿宋_GB2312" w:hAnsi="Calibri" w:eastAsia="仿宋_GB2312" w:cs="Times New Roman"/>
          <w:sz w:val="32"/>
          <w:szCs w:val="32"/>
        </w:rPr>
      </w:pPr>
    </w:p>
    <w:p>
      <w:pPr>
        <w:spacing w:line="660" w:lineRule="exact"/>
        <w:jc w:val="center"/>
        <w:rPr>
          <w:rFonts w:hint="eastAsia" w:ascii="方正小标宋简体" w:hAnsi="Calibri" w:eastAsia="方正小标宋简体" w:cs="Times New Roman"/>
          <w:sz w:val="44"/>
        </w:rPr>
      </w:pPr>
      <w:r>
        <w:rPr>
          <w:rFonts w:hint="eastAsia" w:ascii="方正小标宋简体" w:hAnsi="Calibri" w:eastAsia="方正小标宋简体" w:cs="Times New Roman"/>
          <w:sz w:val="44"/>
        </w:rPr>
        <w:t>佛山市</w:t>
      </w:r>
      <w:r>
        <w:rPr>
          <w:rFonts w:hint="eastAsia" w:ascii="方正小标宋简体" w:hAnsi="Calibri" w:eastAsia="方正小标宋简体" w:cs="Times New Roman"/>
          <w:sz w:val="44"/>
          <w:lang w:eastAsia="zh-CN"/>
        </w:rPr>
        <w:t>202</w:t>
      </w:r>
      <w:r>
        <w:rPr>
          <w:rFonts w:hint="eastAsia" w:ascii="方正小标宋简体" w:eastAsia="方正小标宋简体" w:cs="Times New Roman"/>
          <w:sz w:val="44"/>
          <w:lang w:val="en-US" w:eastAsia="zh-CN"/>
        </w:rPr>
        <w:t>5</w:t>
      </w:r>
      <w:r>
        <w:rPr>
          <w:rFonts w:hint="eastAsia" w:ascii="方正小标宋简体" w:hAnsi="Calibri" w:eastAsia="方正小标宋简体" w:cs="Times New Roman"/>
          <w:sz w:val="44"/>
        </w:rPr>
        <w:t>年初中学业水平考试时间安排</w:t>
      </w:r>
    </w:p>
    <w:p>
      <w:pPr>
        <w:spacing w:line="540" w:lineRule="exact"/>
        <w:jc w:val="left"/>
        <w:rPr>
          <w:rFonts w:hint="eastAsia" w:ascii="仿宋_GB2312" w:hAnsi="Calibri" w:eastAsia="仿宋_GB2312" w:cs="Times New Roman"/>
          <w:sz w:val="32"/>
          <w:szCs w:val="32"/>
        </w:rPr>
      </w:pP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8"/>
        <w:gridCol w:w="999"/>
        <w:gridCol w:w="2115"/>
        <w:gridCol w:w="1526"/>
        <w:gridCol w:w="2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tblHeader/>
          <w:jc w:val="center"/>
        </w:trPr>
        <w:tc>
          <w:tcPr>
            <w:tcW w:w="269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7"/>
              <w:snapToGrid w:val="0"/>
              <w:spacing w:line="560" w:lineRule="exact"/>
              <w:jc w:val="center"/>
              <w:rPr>
                <w:rFonts w:ascii="Times New Roman" w:hAnsi="Times New Roman" w:eastAsia="黑体" w:cs="Times New Roman"/>
                <w:spacing w:val="10"/>
                <w:kern w:val="2"/>
                <w:sz w:val="32"/>
                <w:szCs w:val="32"/>
              </w:rPr>
            </w:pPr>
            <w:r>
              <w:rPr>
                <w:rFonts w:ascii="Times New Roman" w:hAnsi="Times New Roman" w:eastAsia="黑体" w:cs="Times New Roman"/>
                <w:spacing w:val="10"/>
                <w:kern w:val="2"/>
                <w:sz w:val="32"/>
                <w:szCs w:val="32"/>
              </w:rPr>
              <w:t>日期</w:t>
            </w:r>
          </w:p>
        </w:tc>
        <w:tc>
          <w:tcPr>
            <w:tcW w:w="3641"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7"/>
              <w:snapToGrid w:val="0"/>
              <w:spacing w:line="560" w:lineRule="exact"/>
              <w:jc w:val="center"/>
              <w:rPr>
                <w:rFonts w:ascii="Times New Roman" w:hAnsi="Times New Roman" w:eastAsia="黑体" w:cs="Times New Roman"/>
                <w:spacing w:val="10"/>
                <w:kern w:val="2"/>
                <w:sz w:val="32"/>
                <w:szCs w:val="32"/>
              </w:rPr>
            </w:pPr>
            <w:r>
              <w:rPr>
                <w:rFonts w:ascii="Times New Roman" w:hAnsi="Times New Roman" w:eastAsia="黑体" w:cs="Times New Roman"/>
                <w:spacing w:val="10"/>
                <w:kern w:val="2"/>
                <w:sz w:val="32"/>
                <w:szCs w:val="32"/>
              </w:rPr>
              <w:t>考试时间</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pStyle w:val="7"/>
              <w:snapToGrid w:val="0"/>
              <w:spacing w:line="560" w:lineRule="exact"/>
              <w:jc w:val="center"/>
              <w:rPr>
                <w:rFonts w:ascii="Times New Roman" w:hAnsi="Times New Roman" w:eastAsia="黑体" w:cs="Times New Roman"/>
                <w:spacing w:val="10"/>
                <w:kern w:val="2"/>
                <w:sz w:val="32"/>
                <w:szCs w:val="32"/>
              </w:rPr>
            </w:pPr>
            <w:r>
              <w:rPr>
                <w:rFonts w:ascii="Times New Roman" w:hAnsi="Times New Roman" w:eastAsia="黑体" w:cs="Times New Roman"/>
                <w:spacing w:val="10"/>
                <w:kern w:val="2"/>
                <w:sz w:val="32"/>
                <w:szCs w:val="32"/>
              </w:rPr>
              <w:t>科目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restart"/>
            <w:tcBorders>
              <w:top w:val="single" w:color="auto" w:sz="4" w:space="0"/>
              <w:left w:val="single" w:color="000000" w:sz="4" w:space="0"/>
              <w:right w:val="single" w:color="auto" w:sz="4" w:space="0"/>
            </w:tcBorders>
            <w:noWrap w:val="0"/>
            <w:vAlign w:val="center"/>
          </w:tcPr>
          <w:p>
            <w:pPr>
              <w:widowControl/>
              <w:snapToGrid/>
              <w:spacing w:line="400" w:lineRule="exact"/>
              <w:ind w:firstLine="0" w:firstLineChars="0"/>
              <w:jc w:val="center"/>
              <w:rPr>
                <w:rFonts w:hint="eastAsia" w:ascii="仿宋_GB2312" w:hAnsi="仿宋_GB2312" w:eastAsia="仿宋_GB2312" w:cs="仿宋_GB2312"/>
                <w:spacing w:val="0"/>
                <w:sz w:val="28"/>
                <w:szCs w:val="28"/>
                <w:u w:val="none"/>
              </w:rPr>
            </w:pPr>
            <w:r>
              <w:rPr>
                <w:rFonts w:hint="eastAsia" w:ascii="仿宋_GB2312" w:hAnsi="仿宋_GB2312" w:eastAsia="仿宋_GB2312" w:cs="仿宋_GB2312"/>
                <w:spacing w:val="0"/>
                <w:sz w:val="28"/>
                <w:szCs w:val="28"/>
                <w:u w:val="none"/>
              </w:rPr>
              <w:t>6月</w:t>
            </w:r>
            <w:r>
              <w:rPr>
                <w:rFonts w:hint="eastAsia" w:ascii="仿宋_GB2312" w:hAnsi="仿宋_GB2312" w:eastAsia="仿宋_GB2312" w:cs="仿宋_GB2312"/>
                <w:spacing w:val="0"/>
                <w:sz w:val="28"/>
                <w:szCs w:val="28"/>
                <w:u w:val="none"/>
                <w:lang w:val="en-US" w:eastAsia="zh-CN"/>
              </w:rPr>
              <w:t>30</w:t>
            </w:r>
            <w:r>
              <w:rPr>
                <w:rFonts w:hint="eastAsia" w:ascii="仿宋_GB2312" w:hAnsi="仿宋_GB2312" w:eastAsia="仿宋_GB2312" w:cs="仿宋_GB2312"/>
                <w:spacing w:val="0"/>
                <w:sz w:val="28"/>
                <w:szCs w:val="28"/>
                <w:u w:val="none"/>
              </w:rPr>
              <w:t>日</w:t>
            </w:r>
          </w:p>
        </w:tc>
        <w:tc>
          <w:tcPr>
            <w:tcW w:w="999" w:type="dxa"/>
            <w:vMerge w:val="restart"/>
            <w:tcBorders>
              <w:top w:val="single" w:color="auto" w:sz="4" w:space="0"/>
              <w:left w:val="single" w:color="auto"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lang w:eastAsia="zh-CN"/>
              </w:rPr>
            </w:pPr>
            <w:r>
              <w:rPr>
                <w:rFonts w:hint="eastAsia" w:ascii="仿宋_GB2312" w:hAnsi="仿宋_GB2312" w:eastAsia="仿宋_GB2312" w:cs="仿宋_GB2312"/>
                <w:spacing w:val="0"/>
                <w:kern w:val="2"/>
                <w:sz w:val="28"/>
                <w:szCs w:val="28"/>
                <w:u w:val="none"/>
                <w:lang w:eastAsia="zh-CN"/>
              </w:rPr>
              <w:t>上午</w:t>
            </w:r>
          </w:p>
        </w:tc>
        <w:tc>
          <w:tcPr>
            <w:tcW w:w="2115" w:type="dxa"/>
            <w:tcBorders>
              <w:top w:val="single" w:color="auto"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08:30—</w:t>
            </w:r>
            <w:r>
              <w:rPr>
                <w:rFonts w:hint="eastAsia" w:ascii="仿宋_GB2312" w:hAnsi="仿宋_GB2312" w:eastAsia="仿宋_GB2312" w:cs="仿宋_GB2312"/>
                <w:bCs w:val="0"/>
                <w:spacing w:val="0"/>
                <w:kern w:val="2"/>
                <w:sz w:val="28"/>
                <w:szCs w:val="28"/>
                <w:u w:val="none"/>
                <w:lang w:val="en-US" w:eastAsia="zh-CN"/>
              </w:rPr>
              <w:t>9</w:t>
            </w:r>
            <w:r>
              <w:rPr>
                <w:rFonts w:hint="eastAsia" w:ascii="仿宋_GB2312" w:hAnsi="仿宋_GB2312" w:eastAsia="仿宋_GB2312" w:cs="仿宋_GB2312"/>
                <w:bCs w:val="0"/>
                <w:spacing w:val="0"/>
                <w:kern w:val="2"/>
                <w:sz w:val="28"/>
                <w:szCs w:val="28"/>
                <w:u w:val="none"/>
              </w:rPr>
              <w:t>:</w:t>
            </w:r>
            <w:r>
              <w:rPr>
                <w:rFonts w:hint="eastAsia" w:ascii="仿宋_GB2312" w:hAnsi="仿宋_GB2312" w:eastAsia="仿宋_GB2312" w:cs="仿宋_GB2312"/>
                <w:bCs w:val="0"/>
                <w:spacing w:val="0"/>
                <w:kern w:val="2"/>
                <w:sz w:val="28"/>
                <w:szCs w:val="28"/>
                <w:u w:val="none"/>
                <w:lang w:val="en-US" w:eastAsia="zh-CN"/>
              </w:rPr>
              <w:t>3</w:t>
            </w:r>
            <w:r>
              <w:rPr>
                <w:rFonts w:hint="eastAsia" w:ascii="仿宋_GB2312" w:hAnsi="仿宋_GB2312" w:eastAsia="仿宋_GB2312" w:cs="仿宋_GB2312"/>
                <w:bCs w:val="0"/>
                <w:spacing w:val="0"/>
                <w:kern w:val="2"/>
                <w:sz w:val="28"/>
                <w:szCs w:val="28"/>
                <w:u w:val="none"/>
              </w:rPr>
              <w:t>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lang w:val="en-US" w:eastAsia="zh-CN"/>
              </w:rPr>
            </w:pPr>
            <w:r>
              <w:rPr>
                <w:rFonts w:hint="eastAsia" w:ascii="仿宋_GB2312" w:hAnsi="仿宋_GB2312" w:eastAsia="仿宋_GB2312" w:cs="仿宋_GB2312"/>
                <w:bCs w:val="0"/>
                <w:spacing w:val="0"/>
                <w:kern w:val="2"/>
                <w:sz w:val="28"/>
                <w:szCs w:val="28"/>
                <w:u w:val="none"/>
                <w:lang w:val="en-US" w:eastAsia="zh-CN"/>
              </w:rPr>
              <w:t>60分钟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lang w:eastAsia="zh-CN"/>
              </w:rPr>
            </w:pPr>
            <w:r>
              <w:rPr>
                <w:rFonts w:hint="eastAsia" w:ascii="仿宋_GB2312" w:hAnsi="仿宋_GB2312" w:eastAsia="仿宋_GB2312" w:cs="仿宋_GB2312"/>
                <w:spacing w:val="0"/>
                <w:kern w:val="2"/>
                <w:sz w:val="28"/>
                <w:szCs w:val="28"/>
                <w:u w:val="none"/>
                <w:lang w:eastAsia="zh-CN"/>
              </w:rPr>
              <w:t>地理（初二）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continue"/>
            <w:tcBorders>
              <w:left w:val="single" w:color="000000" w:sz="4" w:space="0"/>
              <w:right w:val="single" w:color="auto"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999" w:type="dxa"/>
            <w:vMerge w:val="continue"/>
            <w:tcBorders>
              <w:left w:val="single" w:color="auto" w:sz="4" w:space="0"/>
              <w:bottom w:val="single" w:color="000000" w:sz="4" w:space="0"/>
              <w:right w:val="single" w:color="000000" w:sz="4" w:space="0"/>
            </w:tcBorders>
            <w:noWrap w:val="0"/>
            <w:vAlign w:val="center"/>
          </w:tcPr>
          <w:p>
            <w:pPr>
              <w:spacing w:line="400" w:lineRule="exact"/>
              <w:ind w:firstLine="560" w:firstLineChars="200"/>
              <w:jc w:val="center"/>
              <w:rPr>
                <w:rFonts w:hint="eastAsia" w:ascii="仿宋_GB2312" w:hAnsi="仿宋_GB2312" w:eastAsia="仿宋_GB2312" w:cs="仿宋_GB2312"/>
                <w:spacing w:val="0"/>
                <w:kern w:val="2"/>
                <w:sz w:val="28"/>
                <w:szCs w:val="28"/>
                <w:u w:val="none"/>
              </w:rPr>
            </w:pPr>
          </w:p>
        </w:tc>
        <w:tc>
          <w:tcPr>
            <w:tcW w:w="2115" w:type="dxa"/>
            <w:tcBorders>
              <w:top w:val="single" w:color="auto"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10:</w:t>
            </w:r>
            <w:r>
              <w:rPr>
                <w:rFonts w:hint="eastAsia" w:ascii="仿宋_GB2312" w:hAnsi="仿宋_GB2312" w:eastAsia="仿宋_GB2312" w:cs="仿宋_GB2312"/>
                <w:bCs w:val="0"/>
                <w:spacing w:val="0"/>
                <w:kern w:val="2"/>
                <w:sz w:val="28"/>
                <w:szCs w:val="28"/>
                <w:u w:val="none"/>
                <w:lang w:val="en-US" w:eastAsia="zh-CN"/>
              </w:rPr>
              <w:t>2</w:t>
            </w:r>
            <w:r>
              <w:rPr>
                <w:rFonts w:hint="eastAsia" w:ascii="仿宋_GB2312" w:hAnsi="仿宋_GB2312" w:eastAsia="仿宋_GB2312" w:cs="仿宋_GB2312"/>
                <w:bCs w:val="0"/>
                <w:spacing w:val="0"/>
                <w:kern w:val="2"/>
                <w:sz w:val="28"/>
                <w:szCs w:val="28"/>
                <w:u w:val="none"/>
              </w:rPr>
              <w:t>0—11:</w:t>
            </w:r>
            <w:r>
              <w:rPr>
                <w:rFonts w:hint="eastAsia" w:ascii="仿宋_GB2312" w:hAnsi="仿宋_GB2312" w:eastAsia="仿宋_GB2312" w:cs="仿宋_GB2312"/>
                <w:bCs w:val="0"/>
                <w:spacing w:val="0"/>
                <w:kern w:val="2"/>
                <w:sz w:val="28"/>
                <w:szCs w:val="28"/>
                <w:u w:val="none"/>
                <w:lang w:val="en-US" w:eastAsia="zh-CN"/>
              </w:rPr>
              <w:t>2</w:t>
            </w:r>
            <w:r>
              <w:rPr>
                <w:rFonts w:hint="eastAsia" w:ascii="仿宋_GB2312" w:hAnsi="仿宋_GB2312" w:eastAsia="仿宋_GB2312" w:cs="仿宋_GB2312"/>
                <w:bCs w:val="0"/>
                <w:spacing w:val="0"/>
                <w:kern w:val="2"/>
                <w:sz w:val="28"/>
                <w:szCs w:val="28"/>
                <w:u w:val="none"/>
              </w:rPr>
              <w:t>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lang w:val="en-US" w:eastAsia="zh-CN"/>
              </w:rPr>
            </w:pPr>
            <w:r>
              <w:rPr>
                <w:rFonts w:hint="eastAsia" w:ascii="仿宋_GB2312" w:hAnsi="仿宋_GB2312" w:eastAsia="仿宋_GB2312" w:cs="仿宋_GB2312"/>
                <w:bCs w:val="0"/>
                <w:spacing w:val="0"/>
                <w:kern w:val="2"/>
                <w:sz w:val="28"/>
                <w:szCs w:val="28"/>
                <w:u w:val="none"/>
                <w:lang w:val="en-US" w:eastAsia="zh-CN"/>
              </w:rPr>
              <w:t>60分钟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lang w:eastAsia="zh-CN"/>
              </w:rPr>
            </w:pPr>
            <w:r>
              <w:rPr>
                <w:rFonts w:hint="eastAsia" w:ascii="仿宋_GB2312" w:hAnsi="仿宋_GB2312" w:eastAsia="仿宋_GB2312" w:cs="仿宋_GB2312"/>
                <w:spacing w:val="0"/>
                <w:kern w:val="2"/>
                <w:sz w:val="28"/>
                <w:szCs w:val="28"/>
                <w:u w:val="none"/>
                <w:lang w:eastAsia="zh-CN"/>
              </w:rPr>
              <w:t>生物学（初二）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continue"/>
            <w:tcBorders>
              <w:left w:val="single" w:color="000000" w:sz="4" w:space="0"/>
              <w:bottom w:val="single" w:color="000000" w:sz="4" w:space="0"/>
              <w:right w:val="single" w:color="auto"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999" w:type="dxa"/>
            <w:tcBorders>
              <w:top w:val="single" w:color="auto"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下午</w:t>
            </w:r>
          </w:p>
        </w:tc>
        <w:tc>
          <w:tcPr>
            <w:tcW w:w="2115" w:type="dxa"/>
            <w:tcBorders>
              <w:top w:val="single" w:color="auto"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15:00—17:00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120分钟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lang w:val="en-US" w:eastAsia="zh-CN"/>
              </w:rPr>
              <w:t>7</w:t>
            </w:r>
            <w:r>
              <w:rPr>
                <w:rFonts w:hint="eastAsia" w:ascii="仿宋_GB2312" w:hAnsi="仿宋_GB2312" w:eastAsia="仿宋_GB2312" w:cs="仿宋_GB2312"/>
                <w:spacing w:val="0"/>
                <w:kern w:val="2"/>
                <w:sz w:val="28"/>
                <w:szCs w:val="28"/>
                <w:u w:val="none"/>
              </w:rPr>
              <w:t>月</w:t>
            </w:r>
            <w:r>
              <w:rPr>
                <w:rFonts w:hint="eastAsia" w:ascii="仿宋_GB2312" w:hAnsi="仿宋_GB2312" w:eastAsia="仿宋_GB2312" w:cs="仿宋_GB2312"/>
                <w:spacing w:val="0"/>
                <w:kern w:val="2"/>
                <w:sz w:val="28"/>
                <w:szCs w:val="28"/>
                <w:u w:val="none"/>
                <w:lang w:val="en-US" w:eastAsia="zh-CN"/>
              </w:rPr>
              <w:t>1</w:t>
            </w:r>
            <w:r>
              <w:rPr>
                <w:rFonts w:hint="eastAsia" w:ascii="仿宋_GB2312" w:hAnsi="仿宋_GB2312" w:eastAsia="仿宋_GB2312" w:cs="仿宋_GB2312"/>
                <w:spacing w:val="0"/>
                <w:kern w:val="2"/>
                <w:sz w:val="28"/>
                <w:szCs w:val="28"/>
                <w:u w:val="none"/>
              </w:rPr>
              <w:t>日</w:t>
            </w:r>
          </w:p>
        </w:tc>
        <w:tc>
          <w:tcPr>
            <w:tcW w:w="99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上午</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lang w:val="en-US"/>
              </w:rPr>
              <w:t>08:30—</w:t>
            </w:r>
            <w:r>
              <w:rPr>
                <w:rFonts w:hint="eastAsia" w:ascii="仿宋_GB2312" w:hAnsi="仿宋_GB2312" w:eastAsia="仿宋_GB2312" w:cs="仿宋_GB2312"/>
                <w:bCs w:val="0"/>
                <w:spacing w:val="0"/>
                <w:kern w:val="2"/>
                <w:sz w:val="28"/>
                <w:szCs w:val="28"/>
                <w:u w:val="none"/>
                <w:lang w:val="en-US" w:eastAsia="zh-CN"/>
              </w:rPr>
              <w:t>9</w:t>
            </w:r>
            <w:r>
              <w:rPr>
                <w:rFonts w:hint="eastAsia" w:ascii="仿宋_GB2312" w:hAnsi="仿宋_GB2312" w:eastAsia="仿宋_GB2312" w:cs="仿宋_GB2312"/>
                <w:bCs w:val="0"/>
                <w:spacing w:val="0"/>
                <w:kern w:val="2"/>
                <w:sz w:val="28"/>
                <w:szCs w:val="28"/>
                <w:u w:val="none"/>
                <w:lang w:val="en-US"/>
              </w:rPr>
              <w:t>:</w:t>
            </w:r>
            <w:r>
              <w:rPr>
                <w:rFonts w:hint="eastAsia" w:ascii="仿宋_GB2312" w:hAnsi="仿宋_GB2312" w:eastAsia="仿宋_GB2312" w:cs="仿宋_GB2312"/>
                <w:bCs w:val="0"/>
                <w:spacing w:val="0"/>
                <w:kern w:val="2"/>
                <w:sz w:val="28"/>
                <w:szCs w:val="28"/>
                <w:u w:val="none"/>
                <w:lang w:val="en-US" w:eastAsia="zh-CN"/>
              </w:rPr>
              <w:t>5</w:t>
            </w:r>
            <w:r>
              <w:rPr>
                <w:rFonts w:hint="eastAsia" w:ascii="仿宋_GB2312" w:hAnsi="仿宋_GB2312" w:eastAsia="仿宋_GB2312" w:cs="仿宋_GB2312"/>
                <w:bCs w:val="0"/>
                <w:spacing w:val="0"/>
                <w:kern w:val="2"/>
                <w:sz w:val="28"/>
                <w:szCs w:val="28"/>
                <w:u w:val="none"/>
                <w:lang w:val="en-US"/>
              </w:rPr>
              <w:t>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lang w:val="en-US" w:eastAsia="zh-CN"/>
              </w:rPr>
              <w:t>80</w:t>
            </w:r>
            <w:r>
              <w:rPr>
                <w:rFonts w:hint="eastAsia" w:ascii="仿宋_GB2312" w:hAnsi="仿宋_GB2312" w:eastAsia="仿宋_GB2312" w:cs="仿宋_GB2312"/>
                <w:bCs w:val="0"/>
                <w:spacing w:val="0"/>
                <w:kern w:val="2"/>
                <w:sz w:val="28"/>
                <w:szCs w:val="28"/>
                <w:u w:val="none"/>
              </w:rPr>
              <w:t>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lang w:val="en-US" w:eastAsia="zh-CN"/>
              </w:rPr>
              <w:t>物理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99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10:</w:t>
            </w:r>
            <w:r>
              <w:rPr>
                <w:rFonts w:hint="eastAsia" w:ascii="仿宋_GB2312" w:hAnsi="仿宋_GB2312" w:eastAsia="仿宋_GB2312" w:cs="仿宋_GB2312"/>
                <w:bCs w:val="0"/>
                <w:spacing w:val="0"/>
                <w:kern w:val="2"/>
                <w:sz w:val="28"/>
                <w:szCs w:val="28"/>
                <w:u w:val="none"/>
                <w:lang w:val="en-US" w:eastAsia="zh-CN"/>
              </w:rPr>
              <w:t>4</w:t>
            </w:r>
            <w:r>
              <w:rPr>
                <w:rFonts w:hint="eastAsia" w:ascii="仿宋_GB2312" w:hAnsi="仿宋_GB2312" w:eastAsia="仿宋_GB2312" w:cs="仿宋_GB2312"/>
                <w:bCs w:val="0"/>
                <w:spacing w:val="0"/>
                <w:kern w:val="2"/>
                <w:sz w:val="28"/>
                <w:szCs w:val="28"/>
                <w:u w:val="none"/>
              </w:rPr>
              <w:t>0—11:</w:t>
            </w:r>
            <w:r>
              <w:rPr>
                <w:rFonts w:hint="eastAsia" w:ascii="仿宋_GB2312" w:hAnsi="仿宋_GB2312" w:eastAsia="仿宋_GB2312" w:cs="仿宋_GB2312"/>
                <w:bCs w:val="0"/>
                <w:spacing w:val="0"/>
                <w:kern w:val="2"/>
                <w:sz w:val="28"/>
                <w:szCs w:val="28"/>
                <w:u w:val="none"/>
                <w:lang w:val="en-US" w:eastAsia="zh-CN"/>
              </w:rPr>
              <w:t>4</w:t>
            </w:r>
            <w:r>
              <w:rPr>
                <w:rFonts w:hint="eastAsia" w:ascii="仿宋_GB2312" w:hAnsi="仿宋_GB2312" w:eastAsia="仿宋_GB2312" w:cs="仿宋_GB2312"/>
                <w:bCs w:val="0"/>
                <w:spacing w:val="0"/>
                <w:kern w:val="2"/>
                <w:sz w:val="28"/>
                <w:szCs w:val="28"/>
                <w:u w:val="none"/>
              </w:rPr>
              <w:t>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60分钟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lang w:eastAsia="zh-CN"/>
              </w:rPr>
              <w:t>下</w:t>
            </w:r>
            <w:r>
              <w:rPr>
                <w:rFonts w:hint="eastAsia" w:ascii="仿宋_GB2312" w:hAnsi="仿宋_GB2312" w:eastAsia="仿宋_GB2312" w:cs="仿宋_GB2312"/>
                <w:spacing w:val="0"/>
                <w:kern w:val="2"/>
                <w:sz w:val="28"/>
                <w:szCs w:val="28"/>
                <w:u w:val="none"/>
              </w:rPr>
              <w:t>午</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15:00—1</w:t>
            </w:r>
            <w:r>
              <w:rPr>
                <w:rFonts w:hint="eastAsia" w:ascii="仿宋_GB2312" w:hAnsi="仿宋_GB2312" w:eastAsia="仿宋_GB2312" w:cs="仿宋_GB2312"/>
                <w:bCs w:val="0"/>
                <w:spacing w:val="0"/>
                <w:kern w:val="2"/>
                <w:sz w:val="28"/>
                <w:szCs w:val="28"/>
                <w:u w:val="none"/>
                <w:lang w:val="en-US" w:eastAsia="zh-CN"/>
              </w:rPr>
              <w:t>7</w:t>
            </w:r>
            <w:r>
              <w:rPr>
                <w:rFonts w:hint="eastAsia" w:ascii="仿宋_GB2312" w:hAnsi="仿宋_GB2312" w:eastAsia="仿宋_GB2312" w:cs="仿宋_GB2312"/>
                <w:bCs w:val="0"/>
                <w:spacing w:val="0"/>
                <w:kern w:val="2"/>
                <w:sz w:val="28"/>
                <w:szCs w:val="28"/>
                <w:u w:val="none"/>
              </w:rPr>
              <w:t>:</w:t>
            </w:r>
            <w:r>
              <w:rPr>
                <w:rFonts w:hint="eastAsia" w:ascii="仿宋_GB2312" w:hAnsi="仿宋_GB2312" w:eastAsia="仿宋_GB2312" w:cs="仿宋_GB2312"/>
                <w:bCs w:val="0"/>
                <w:spacing w:val="0"/>
                <w:kern w:val="2"/>
                <w:sz w:val="28"/>
                <w:szCs w:val="28"/>
                <w:u w:val="none"/>
                <w:lang w:val="en-US" w:eastAsia="zh-CN"/>
              </w:rPr>
              <w:t>0</w:t>
            </w:r>
            <w:r>
              <w:rPr>
                <w:rFonts w:hint="eastAsia" w:ascii="仿宋_GB2312" w:hAnsi="仿宋_GB2312" w:eastAsia="仿宋_GB2312" w:cs="仿宋_GB2312"/>
                <w:bCs w:val="0"/>
                <w:spacing w:val="0"/>
                <w:kern w:val="2"/>
                <w:sz w:val="28"/>
                <w:szCs w:val="28"/>
                <w:u w:val="none"/>
              </w:rPr>
              <w:t>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lang w:val="en-US" w:eastAsia="zh-CN"/>
              </w:rPr>
              <w:t>12</w:t>
            </w:r>
            <w:r>
              <w:rPr>
                <w:rFonts w:hint="eastAsia" w:ascii="仿宋_GB2312" w:hAnsi="仿宋_GB2312" w:eastAsia="仿宋_GB2312" w:cs="仿宋_GB2312"/>
                <w:bCs w:val="0"/>
                <w:spacing w:val="0"/>
                <w:kern w:val="2"/>
                <w:sz w:val="28"/>
                <w:szCs w:val="28"/>
                <w:u w:val="none"/>
              </w:rPr>
              <w:t>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lang w:val="en-US" w:eastAsia="zh-CN"/>
              </w:rPr>
              <w:t>数学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lang w:val="en-US" w:eastAsia="zh-CN"/>
              </w:rPr>
              <w:t>7</w:t>
            </w:r>
            <w:r>
              <w:rPr>
                <w:rFonts w:hint="eastAsia" w:ascii="仿宋_GB2312" w:hAnsi="仿宋_GB2312" w:eastAsia="仿宋_GB2312" w:cs="仿宋_GB2312"/>
                <w:spacing w:val="0"/>
                <w:kern w:val="2"/>
                <w:sz w:val="28"/>
                <w:szCs w:val="28"/>
                <w:u w:val="none"/>
              </w:rPr>
              <w:t>月</w:t>
            </w:r>
            <w:r>
              <w:rPr>
                <w:rFonts w:hint="eastAsia" w:ascii="仿宋_GB2312" w:hAnsi="仿宋_GB2312" w:eastAsia="仿宋_GB2312" w:cs="仿宋_GB2312"/>
                <w:spacing w:val="0"/>
                <w:kern w:val="2"/>
                <w:sz w:val="28"/>
                <w:szCs w:val="28"/>
                <w:u w:val="none"/>
                <w:lang w:val="en-US" w:eastAsia="zh-CN"/>
              </w:rPr>
              <w:t>2</w:t>
            </w:r>
            <w:r>
              <w:rPr>
                <w:rFonts w:hint="eastAsia" w:ascii="仿宋_GB2312" w:hAnsi="仿宋_GB2312" w:eastAsia="仿宋_GB2312" w:cs="仿宋_GB2312"/>
                <w:spacing w:val="0"/>
                <w:kern w:val="2"/>
                <w:sz w:val="28"/>
                <w:szCs w:val="28"/>
                <w:u w:val="none"/>
              </w:rPr>
              <w:t>日</w:t>
            </w:r>
          </w:p>
        </w:tc>
        <w:tc>
          <w:tcPr>
            <w:tcW w:w="99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上午</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08:30—10:00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90分钟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英语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169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99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bCs w:val="0"/>
                <w:spacing w:val="0"/>
                <w:kern w:val="2"/>
                <w:sz w:val="28"/>
                <w:szCs w:val="28"/>
                <w:u w:val="none"/>
              </w:rPr>
            </w:pPr>
            <w:r>
              <w:rPr>
                <w:rFonts w:hint="eastAsia" w:ascii="仿宋_GB2312" w:hAnsi="仿宋_GB2312" w:eastAsia="仿宋_GB2312" w:cs="仿宋_GB2312"/>
                <w:bCs w:val="0"/>
                <w:spacing w:val="0"/>
                <w:kern w:val="2"/>
                <w:sz w:val="28"/>
                <w:szCs w:val="28"/>
                <w:u w:val="none"/>
              </w:rPr>
              <w:t>10:50—11:50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60分钟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化学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2" w:hRule="atLeast"/>
          <w:jc w:val="center"/>
        </w:trPr>
        <w:tc>
          <w:tcPr>
            <w:tcW w:w="169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napToGrid/>
              <w:spacing w:line="400" w:lineRule="exact"/>
              <w:ind w:firstLine="560" w:firstLineChars="200"/>
              <w:jc w:val="center"/>
              <w:rPr>
                <w:rFonts w:hint="eastAsia" w:ascii="仿宋_GB2312" w:hAnsi="仿宋_GB2312" w:eastAsia="仿宋_GB2312" w:cs="仿宋_GB2312"/>
                <w:spacing w:val="0"/>
                <w:sz w:val="28"/>
                <w:szCs w:val="28"/>
                <w:u w:val="none"/>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下午</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15:00—16:20</w:t>
            </w:r>
          </w:p>
        </w:tc>
        <w:tc>
          <w:tcPr>
            <w:tcW w:w="152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80分钟</w:t>
            </w:r>
          </w:p>
        </w:tc>
        <w:tc>
          <w:tcPr>
            <w:tcW w:w="242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eastAsia" w:ascii="仿宋_GB2312" w:hAnsi="仿宋_GB2312" w:eastAsia="仿宋_GB2312" w:cs="仿宋_GB2312"/>
                <w:spacing w:val="0"/>
                <w:kern w:val="2"/>
                <w:sz w:val="28"/>
                <w:szCs w:val="28"/>
                <w:u w:val="none"/>
              </w:rPr>
            </w:pPr>
            <w:r>
              <w:rPr>
                <w:rFonts w:hint="eastAsia" w:ascii="仿宋_GB2312" w:hAnsi="仿宋_GB2312" w:eastAsia="仿宋_GB2312" w:cs="仿宋_GB2312"/>
                <w:spacing w:val="0"/>
                <w:kern w:val="2"/>
                <w:sz w:val="28"/>
                <w:szCs w:val="28"/>
                <w:u w:val="none"/>
              </w:rPr>
              <w:t>历史</w:t>
            </w:r>
          </w:p>
        </w:tc>
      </w:tr>
    </w:tbl>
    <w:p>
      <w:pPr>
        <w:spacing w:line="400" w:lineRule="exact"/>
        <w:ind w:firstLine="560" w:firstLineChars="200"/>
        <w:jc w:val="left"/>
        <w:rPr>
          <w:rFonts w:hint="eastAsia" w:ascii="仿宋_GB2312" w:hAnsi="仿宋_GB2312" w:eastAsia="仿宋_GB2312" w:cs="仿宋_GB2312"/>
          <w:sz w:val="28"/>
          <w:szCs w:val="28"/>
          <w:u w:val="none"/>
          <w:lang w:val="en-US" w:eastAsia="zh-CN"/>
        </w:rPr>
      </w:pP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none"/>
          <w:lang w:val="en-US" w:eastAsia="zh-CN"/>
        </w:rPr>
        <w:t>说明</w:t>
      </w:r>
      <w:r>
        <w:rPr>
          <w:rFonts w:hint="eastAsia" w:ascii="仿宋_GB2312" w:hAnsi="仿宋_GB2312" w:eastAsia="仿宋_GB2312" w:cs="仿宋_GB2312"/>
          <w:sz w:val="28"/>
          <w:szCs w:val="28"/>
          <w:u w:val="none"/>
        </w:rPr>
        <w:t>：</w:t>
      </w:r>
      <w:r>
        <w:rPr>
          <w:rFonts w:hint="eastAsia" w:ascii="仿宋_GB2312" w:hAnsi="仿宋_GB2312" w:eastAsia="仿宋_GB2312" w:cs="仿宋_GB2312"/>
          <w:sz w:val="28"/>
          <w:szCs w:val="28"/>
          <w:u w:val="none"/>
          <w:lang w:val="en-US" w:eastAsia="zh-CN"/>
        </w:rPr>
        <w:t>1.中考总分740分，其中</w:t>
      </w:r>
      <w:r>
        <w:rPr>
          <w:rFonts w:hint="eastAsia" w:ascii="仿宋_GB2312" w:hAnsi="仿宋_GB2312" w:eastAsia="仿宋_GB2312" w:cs="仿宋_GB2312"/>
          <w:sz w:val="28"/>
          <w:szCs w:val="28"/>
          <w:u w:val="none"/>
        </w:rPr>
        <w:t>语文、数学、英语三科卷面满分各120分</w:t>
      </w:r>
      <w:r>
        <w:rPr>
          <w:rFonts w:hint="eastAsia" w:ascii="仿宋_GB2312" w:hAnsi="仿宋_GB2312" w:eastAsia="仿宋_GB2312" w:cs="仿宋_GB2312"/>
          <w:sz w:val="28"/>
          <w:szCs w:val="28"/>
          <w:u w:val="none"/>
          <w:lang w:val="en-US" w:eastAsia="zh-CN"/>
        </w:rPr>
        <w:t>计入总分</w:t>
      </w:r>
      <w:r>
        <w:rPr>
          <w:rFonts w:hint="eastAsia" w:ascii="仿宋_GB2312" w:hAnsi="仿宋_GB2312" w:eastAsia="仿宋_GB2312" w:cs="仿宋_GB2312"/>
          <w:sz w:val="28"/>
          <w:szCs w:val="28"/>
          <w:u w:val="none"/>
        </w:rPr>
        <w:t>（英语科</w:t>
      </w:r>
      <w:r>
        <w:rPr>
          <w:rFonts w:hint="eastAsia" w:ascii="仿宋_GB2312" w:hAnsi="仿宋_GB2312" w:eastAsia="仿宋_GB2312" w:cs="仿宋_GB2312"/>
          <w:sz w:val="28"/>
          <w:szCs w:val="28"/>
          <w:u w:val="none"/>
          <w:lang w:val="en-US" w:eastAsia="zh-CN"/>
        </w:rPr>
        <w:t>不考</w:t>
      </w:r>
      <w:r>
        <w:rPr>
          <w:rFonts w:hint="eastAsia" w:ascii="仿宋_GB2312" w:hAnsi="仿宋_GB2312" w:eastAsia="仿宋_GB2312" w:cs="仿宋_GB2312"/>
          <w:sz w:val="28"/>
          <w:szCs w:val="28"/>
          <w:u w:val="none"/>
        </w:rPr>
        <w:t>听力</w:t>
      </w:r>
      <w:r>
        <w:rPr>
          <w:rFonts w:hint="eastAsia" w:ascii="仿宋_GB2312" w:hAnsi="仿宋_GB2312" w:eastAsia="仿宋_GB2312" w:cs="仿宋_GB2312"/>
          <w:sz w:val="28"/>
          <w:szCs w:val="28"/>
          <w:u w:val="none"/>
          <w:lang w:val="en-US" w:eastAsia="zh-CN"/>
        </w:rPr>
        <w:t>部分</w:t>
      </w:r>
      <w:r>
        <w:rPr>
          <w:rFonts w:hint="eastAsia" w:ascii="仿宋_GB2312" w:hAnsi="仿宋_GB2312" w:eastAsia="仿宋_GB2312" w:cs="仿宋_GB2312"/>
          <w:sz w:val="28"/>
          <w:szCs w:val="28"/>
          <w:u w:val="none"/>
          <w:lang w:eastAsia="zh-CN"/>
        </w:rPr>
        <w:t>，</w:t>
      </w:r>
      <w:r>
        <w:rPr>
          <w:rFonts w:hint="eastAsia" w:ascii="仿宋_GB2312" w:hAnsi="仿宋_GB2312" w:eastAsia="仿宋_GB2312" w:cs="仿宋_GB2312"/>
          <w:sz w:val="28"/>
          <w:szCs w:val="28"/>
          <w:u w:val="none"/>
          <w:lang w:val="en-US" w:eastAsia="zh-CN"/>
        </w:rPr>
        <w:t>另设听说考试</w:t>
      </w:r>
      <w:r>
        <w:rPr>
          <w:rFonts w:hint="eastAsia" w:ascii="仿宋_GB2312" w:hAnsi="仿宋_GB2312" w:eastAsia="仿宋_GB2312" w:cs="仿宋_GB2312"/>
          <w:sz w:val="28"/>
          <w:szCs w:val="28"/>
          <w:u w:val="none"/>
        </w:rPr>
        <w:t>）；物理、化学</w:t>
      </w:r>
      <w:r>
        <w:rPr>
          <w:rFonts w:hint="eastAsia" w:ascii="仿宋_GB2312" w:hAnsi="仿宋_GB2312" w:eastAsia="仿宋_GB2312" w:cs="仿宋_GB2312"/>
          <w:sz w:val="28"/>
          <w:szCs w:val="28"/>
          <w:u w:val="none"/>
          <w:lang w:val="en-US" w:eastAsia="zh-CN"/>
        </w:rPr>
        <w:t>两</w:t>
      </w:r>
      <w:r>
        <w:rPr>
          <w:rFonts w:hint="eastAsia" w:ascii="仿宋_GB2312" w:hAnsi="仿宋_GB2312" w:eastAsia="仿宋_GB2312" w:cs="仿宋_GB2312"/>
          <w:sz w:val="28"/>
          <w:szCs w:val="28"/>
          <w:u w:val="none"/>
        </w:rPr>
        <w:t>科卷面满分各100分</w:t>
      </w:r>
      <w:r>
        <w:rPr>
          <w:rFonts w:hint="eastAsia" w:ascii="仿宋_GB2312" w:hAnsi="仿宋_GB2312" w:eastAsia="仿宋_GB2312" w:cs="仿宋_GB2312"/>
          <w:sz w:val="28"/>
          <w:szCs w:val="28"/>
          <w:u w:val="none"/>
          <w:lang w:val="en-US" w:eastAsia="zh-CN"/>
        </w:rPr>
        <w:t>计入总分</w:t>
      </w:r>
      <w:r>
        <w:rPr>
          <w:rFonts w:hint="eastAsia" w:ascii="仿宋_GB2312" w:hAnsi="仿宋_GB2312" w:eastAsia="仿宋_GB2312" w:cs="仿宋_GB2312"/>
          <w:sz w:val="28"/>
          <w:szCs w:val="28"/>
          <w:u w:val="none"/>
          <w:lang w:eastAsia="zh-CN"/>
        </w:rPr>
        <w:t>；</w:t>
      </w:r>
      <w:r>
        <w:rPr>
          <w:rFonts w:hint="eastAsia" w:ascii="仿宋_GB2312" w:hAnsi="仿宋_GB2312" w:eastAsia="仿宋_GB2312" w:cs="仿宋_GB2312"/>
          <w:sz w:val="28"/>
          <w:szCs w:val="28"/>
          <w:u w:val="none"/>
        </w:rPr>
        <w:t>道德与法治、历史两科卷面满分各100分</w:t>
      </w:r>
      <w:r>
        <w:rPr>
          <w:rFonts w:hint="eastAsia" w:ascii="仿宋_GB2312" w:hAnsi="仿宋_GB2312" w:eastAsia="仿宋_GB2312" w:cs="仿宋_GB2312"/>
          <w:sz w:val="28"/>
          <w:szCs w:val="28"/>
          <w:u w:val="none"/>
          <w:lang w:eastAsia="zh-CN"/>
        </w:rPr>
        <w:t>，</w:t>
      </w:r>
      <w:r>
        <w:rPr>
          <w:rFonts w:hint="eastAsia" w:ascii="仿宋_GB2312" w:hAnsi="仿宋_GB2312" w:eastAsia="仿宋_GB2312" w:cs="仿宋_GB2312"/>
          <w:sz w:val="28"/>
          <w:szCs w:val="28"/>
          <w:u w:val="none"/>
        </w:rPr>
        <w:t>各按卷面分值</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0%折算计入中考总分（四舍五入取整数）</w:t>
      </w:r>
      <w:r>
        <w:rPr>
          <w:rFonts w:hint="eastAsia" w:ascii="仿宋_GB2312" w:hAnsi="仿宋_GB2312" w:eastAsia="仿宋_GB2312" w:cs="仿宋_GB2312"/>
          <w:sz w:val="28"/>
          <w:szCs w:val="28"/>
          <w:u w:val="none"/>
          <w:lang w:eastAsia="zh-CN"/>
        </w:rPr>
        <w:t>；</w:t>
      </w:r>
      <w:r>
        <w:rPr>
          <w:rFonts w:hint="eastAsia" w:ascii="仿宋_GB2312" w:hAnsi="仿宋_GB2312" w:eastAsia="仿宋_GB2312" w:cs="仿宋_GB2312"/>
          <w:sz w:val="28"/>
          <w:szCs w:val="28"/>
          <w:u w:val="none"/>
          <w:lang w:val="en-US" w:eastAsia="zh-CN"/>
        </w:rPr>
        <w:t>体育科满分60分计入总分</w:t>
      </w:r>
      <w:r>
        <w:rPr>
          <w:rFonts w:hint="eastAsia" w:ascii="仿宋_GB2312" w:hAnsi="仿宋_GB2312" w:eastAsia="仿宋_GB2312" w:cs="仿宋_GB2312"/>
          <w:sz w:val="28"/>
          <w:szCs w:val="28"/>
          <w:u w:val="none"/>
        </w:rPr>
        <w:t>。</w:t>
      </w:r>
      <w:r>
        <w:rPr>
          <w:rFonts w:hint="eastAsia" w:ascii="仿宋_GB2312" w:hAnsi="仿宋_GB2312" w:eastAsia="仿宋_GB2312" w:cs="仿宋_GB2312"/>
          <w:sz w:val="28"/>
          <w:szCs w:val="28"/>
          <w:u w:val="none"/>
          <w:lang w:val="en-US" w:eastAsia="zh-CN"/>
        </w:rPr>
        <w:t>2.</w:t>
      </w:r>
      <w:r>
        <w:rPr>
          <w:rFonts w:hint="eastAsia" w:ascii="仿宋_GB2312" w:hAnsi="仿宋_GB2312" w:eastAsia="仿宋_GB2312" w:cs="仿宋_GB2312"/>
          <w:sz w:val="28"/>
          <w:szCs w:val="28"/>
          <w:u w:val="none"/>
        </w:rPr>
        <w:t>根据</w:t>
      </w:r>
      <w:r>
        <w:rPr>
          <w:rFonts w:hint="eastAsia" w:ascii="仿宋_GB2312" w:hAnsi="仿宋_GB2312" w:eastAsia="仿宋_GB2312" w:cs="仿宋_GB2312"/>
          <w:sz w:val="28"/>
          <w:szCs w:val="28"/>
          <w:u w:val="none"/>
          <w:lang w:eastAsia="zh-CN"/>
        </w:rPr>
        <w:t>省</w:t>
      </w:r>
      <w:r>
        <w:rPr>
          <w:rFonts w:hint="eastAsia" w:ascii="仿宋_GB2312" w:hAnsi="仿宋_GB2312" w:eastAsia="仿宋_GB2312" w:cs="仿宋_GB2312"/>
          <w:sz w:val="28"/>
          <w:szCs w:val="28"/>
          <w:u w:val="none"/>
        </w:rPr>
        <w:t>教育</w:t>
      </w:r>
      <w:r>
        <w:rPr>
          <w:rFonts w:hint="eastAsia" w:ascii="仿宋_GB2312" w:hAnsi="仿宋_GB2312" w:eastAsia="仿宋_GB2312" w:cs="仿宋_GB2312"/>
          <w:sz w:val="28"/>
          <w:szCs w:val="28"/>
          <w:u w:val="none"/>
          <w:lang w:eastAsia="zh-CN"/>
        </w:rPr>
        <w:t>厅《</w:t>
      </w:r>
      <w:r>
        <w:rPr>
          <w:rFonts w:hint="eastAsia" w:ascii="仿宋_GB2312" w:hAnsi="仿宋_GB2312" w:eastAsia="仿宋_GB2312" w:cs="仿宋_GB2312"/>
          <w:sz w:val="28"/>
          <w:szCs w:val="28"/>
          <w:u w:val="none"/>
        </w:rPr>
        <w:t>关于</w:t>
      </w:r>
      <w:r>
        <w:rPr>
          <w:rFonts w:hint="eastAsia" w:ascii="仿宋_GB2312" w:hAnsi="仿宋_GB2312" w:eastAsia="仿宋_GB2312" w:cs="仿宋_GB2312"/>
          <w:sz w:val="28"/>
          <w:szCs w:val="28"/>
          <w:u w:val="none"/>
          <w:lang w:eastAsia="zh-CN"/>
        </w:rPr>
        <w:t>2025</w:t>
      </w:r>
      <w:r>
        <w:rPr>
          <w:rFonts w:hint="eastAsia" w:ascii="仿宋_GB2312" w:hAnsi="仿宋_GB2312" w:eastAsia="仿宋_GB2312" w:cs="仿宋_GB2312"/>
          <w:sz w:val="28"/>
          <w:szCs w:val="28"/>
          <w:u w:val="none"/>
        </w:rPr>
        <w:t>年初中学业水平考试时间安排的通知》制定</w:t>
      </w:r>
      <w:r>
        <w:rPr>
          <w:rFonts w:hint="eastAsia" w:ascii="仿宋_GB2312" w:hAnsi="仿宋_GB2312" w:eastAsia="仿宋_GB2312" w:cs="仿宋_GB2312"/>
          <w:spacing w:val="0"/>
          <w:sz w:val="28"/>
          <w:szCs w:val="28"/>
          <w:u w:val="none"/>
          <w:lang w:eastAsia="zh-CN"/>
        </w:rPr>
        <w:t>；</w:t>
      </w:r>
      <w:r>
        <w:rPr>
          <w:rFonts w:hint="eastAsia" w:ascii="仿宋_GB2312" w:hAnsi="仿宋_GB2312" w:eastAsia="仿宋_GB2312" w:cs="仿宋_GB2312"/>
          <w:sz w:val="28"/>
          <w:szCs w:val="28"/>
          <w:u w:val="none"/>
          <w:lang w:eastAsia="zh-CN"/>
        </w:rPr>
        <w:t>体育与健康、</w:t>
      </w:r>
      <w:r>
        <w:rPr>
          <w:rFonts w:hint="eastAsia" w:ascii="仿宋_GB2312" w:hAnsi="仿宋_GB2312" w:eastAsia="仿宋_GB2312" w:cs="仿宋_GB2312"/>
          <w:sz w:val="28"/>
          <w:szCs w:val="28"/>
          <w:u w:val="none"/>
          <w:lang w:val="en-US" w:eastAsia="zh-CN"/>
        </w:rPr>
        <w:t>英语听说、</w:t>
      </w:r>
      <w:r>
        <w:rPr>
          <w:rFonts w:hint="eastAsia" w:ascii="仿宋_GB2312" w:hAnsi="仿宋_GB2312" w:eastAsia="仿宋_GB2312" w:cs="仿宋_GB2312"/>
          <w:sz w:val="28"/>
          <w:szCs w:val="28"/>
          <w:u w:val="none"/>
          <w:lang w:eastAsia="zh-CN"/>
        </w:rPr>
        <w:t>音乐、美术、信息</w:t>
      </w:r>
      <w:r>
        <w:rPr>
          <w:rFonts w:hint="eastAsia" w:ascii="仿宋_GB2312" w:hAnsi="仿宋_GB2312" w:eastAsia="仿宋_GB2312" w:cs="仿宋_GB2312"/>
          <w:sz w:val="28"/>
          <w:szCs w:val="28"/>
          <w:u w:val="none"/>
          <w:lang w:val="en-US" w:eastAsia="zh-CN"/>
        </w:rPr>
        <w:t>科技</w:t>
      </w:r>
      <w:r>
        <w:rPr>
          <w:rFonts w:hint="eastAsia" w:ascii="仿宋_GB2312" w:hAnsi="仿宋_GB2312" w:eastAsia="仿宋_GB2312" w:cs="仿宋_GB2312"/>
          <w:sz w:val="28"/>
          <w:szCs w:val="28"/>
          <w:u w:val="none"/>
          <w:lang w:eastAsia="zh-CN"/>
        </w:rPr>
        <w:t>等科目及物理、化学、生物学实验操作等科目考试具体时间另行通知</w:t>
      </w:r>
      <w:r>
        <w:rPr>
          <w:rFonts w:hint="eastAsia" w:ascii="仿宋_GB2312" w:hAnsi="仿宋_GB2312" w:eastAsia="仿宋_GB2312" w:cs="仿宋_GB2312"/>
          <w:sz w:val="28"/>
          <w:szCs w:val="28"/>
          <w:u w:val="none"/>
        </w:rPr>
        <w:t>。</w:t>
      </w:r>
    </w:p>
    <w:p>
      <w:pPr>
        <w:snapToGrid/>
        <w:spacing w:line="240" w:lineRule="auto"/>
        <w:jc w:val="left"/>
        <w:rPr>
          <w:rFonts w:hint="eastAsia" w:ascii="黑体" w:hAnsi="黑体" w:eastAsia="黑体" w:cs="Times New Roman"/>
          <w:b w:val="0"/>
          <w:bCs w:val="0"/>
          <w:color w:val="auto"/>
          <w:sz w:val="32"/>
          <w:u w:val="none"/>
        </w:rPr>
      </w:pPr>
      <w:r>
        <w:rPr>
          <w:rFonts w:hint="eastAsia" w:ascii="黑体" w:hAnsi="黑体" w:eastAsia="黑体" w:cs="Times New Roman"/>
          <w:b w:val="0"/>
          <w:bCs w:val="0"/>
          <w:color w:val="auto"/>
          <w:sz w:val="32"/>
          <w:u w:val="none"/>
        </w:rPr>
        <w:br w:type="page"/>
      </w:r>
    </w:p>
    <w:p>
      <w:pPr>
        <w:snapToGrid w:val="0"/>
        <w:spacing w:line="520" w:lineRule="exact"/>
        <w:jc w:val="left"/>
        <w:rPr>
          <w:rFonts w:hint="eastAsia" w:ascii="黑体" w:hAnsi="黑体" w:eastAsia="黑体" w:cs="Times New Roman"/>
          <w:b w:val="0"/>
          <w:bCs w:val="0"/>
          <w:color w:val="auto"/>
          <w:sz w:val="32"/>
          <w:u w:val="none"/>
          <w:lang w:eastAsia="zh-CN"/>
        </w:rPr>
      </w:pPr>
      <w:r>
        <w:rPr>
          <w:rFonts w:hint="eastAsia" w:ascii="黑体" w:hAnsi="黑体" w:eastAsia="黑体" w:cs="Times New Roman"/>
          <w:b w:val="0"/>
          <w:bCs w:val="0"/>
          <w:color w:val="auto"/>
          <w:sz w:val="32"/>
          <w:u w:val="none"/>
        </w:rPr>
        <w:t>附件</w:t>
      </w:r>
      <w:r>
        <w:rPr>
          <w:rFonts w:hint="eastAsia" w:ascii="黑体" w:hAnsi="黑体" w:eastAsia="黑体" w:cs="Times New Roman"/>
          <w:b w:val="0"/>
          <w:bCs w:val="0"/>
          <w:color w:val="auto"/>
          <w:sz w:val="32"/>
          <w:u w:val="none"/>
          <w:lang w:eastAsia="zh-CN"/>
        </w:rPr>
        <w:t>2</w:t>
      </w:r>
    </w:p>
    <w:p>
      <w:pPr>
        <w:snapToGrid w:val="0"/>
        <w:spacing w:line="520" w:lineRule="exact"/>
        <w:jc w:val="left"/>
        <w:rPr>
          <w:rFonts w:hint="eastAsia" w:ascii="黑体" w:hAnsi="黑体" w:eastAsia="黑体" w:cs="Times New Roman"/>
          <w:b w:val="0"/>
          <w:bCs w:val="0"/>
          <w:color w:val="auto"/>
          <w:sz w:val="32"/>
          <w:u w:val="none"/>
          <w:lang w:eastAsia="zh-CN"/>
        </w:rPr>
      </w:pPr>
    </w:p>
    <w:p>
      <w:pPr>
        <w:spacing w:line="660" w:lineRule="exact"/>
        <w:jc w:val="center"/>
        <w:rPr>
          <w:rFonts w:hint="eastAsia" w:ascii="方正小标宋简体" w:hAnsi="Calibri" w:eastAsia="方正小标宋简体" w:cs="Times New Roman"/>
          <w:b w:val="0"/>
          <w:bCs w:val="0"/>
          <w:color w:val="auto"/>
          <w:sz w:val="44"/>
          <w:szCs w:val="44"/>
          <w:u w:val="none"/>
        </w:rPr>
      </w:pPr>
      <w:r>
        <w:rPr>
          <w:rFonts w:hint="eastAsia" w:ascii="方正小标宋简体" w:hAnsi="Calibri" w:eastAsia="方正小标宋简体" w:cs="Times New Roman"/>
          <w:b w:val="0"/>
          <w:bCs w:val="0"/>
          <w:color w:val="auto"/>
          <w:sz w:val="44"/>
          <w:szCs w:val="44"/>
          <w:u w:val="none"/>
        </w:rPr>
        <w:t>佛山市</w:t>
      </w:r>
      <w:r>
        <w:rPr>
          <w:rFonts w:hint="eastAsia" w:ascii="方正小标宋简体" w:hAnsi="Calibri" w:eastAsia="方正小标宋简体" w:cs="Times New Roman"/>
          <w:b w:val="0"/>
          <w:bCs w:val="0"/>
          <w:color w:val="auto"/>
          <w:sz w:val="44"/>
          <w:szCs w:val="44"/>
          <w:u w:val="none"/>
          <w:lang w:eastAsia="zh-CN"/>
        </w:rPr>
        <w:t>202</w:t>
      </w:r>
      <w:r>
        <w:rPr>
          <w:rFonts w:hint="eastAsia" w:ascii="方正小标宋简体" w:eastAsia="方正小标宋简体" w:cs="Times New Roman"/>
          <w:b w:val="0"/>
          <w:bCs w:val="0"/>
          <w:color w:val="auto"/>
          <w:sz w:val="44"/>
          <w:szCs w:val="44"/>
          <w:u w:val="none"/>
          <w:lang w:val="en-US" w:eastAsia="zh-CN"/>
        </w:rPr>
        <w:t>5</w:t>
      </w:r>
      <w:r>
        <w:rPr>
          <w:rFonts w:hint="eastAsia" w:ascii="方正小标宋简体" w:hAnsi="Calibri" w:eastAsia="方正小标宋简体" w:cs="Times New Roman"/>
          <w:b w:val="0"/>
          <w:bCs w:val="0"/>
          <w:color w:val="auto"/>
          <w:sz w:val="44"/>
          <w:szCs w:val="44"/>
          <w:u w:val="none"/>
        </w:rPr>
        <w:t>年高中阶段学校招生计划</w:t>
      </w:r>
    </w:p>
    <w:p>
      <w:pPr>
        <w:spacing w:line="660" w:lineRule="exact"/>
        <w:jc w:val="center"/>
        <w:rPr>
          <w:rFonts w:hint="eastAsia" w:ascii="方正小标宋简体" w:hAnsi="Calibri" w:eastAsia="方正小标宋简体" w:cs="Times New Roman"/>
          <w:b w:val="0"/>
          <w:bCs w:val="0"/>
          <w:color w:val="auto"/>
          <w:sz w:val="44"/>
          <w:szCs w:val="44"/>
          <w:u w:val="none"/>
        </w:rPr>
      </w:pPr>
      <w:r>
        <w:rPr>
          <w:rFonts w:hint="eastAsia" w:ascii="方正小标宋简体" w:hAnsi="Calibri" w:eastAsia="方正小标宋简体" w:cs="Times New Roman"/>
          <w:b w:val="0"/>
          <w:bCs w:val="0"/>
          <w:color w:val="auto"/>
          <w:sz w:val="44"/>
          <w:szCs w:val="44"/>
          <w:u w:val="none"/>
        </w:rPr>
        <w:t>设置和录取办法</w:t>
      </w:r>
    </w:p>
    <w:p>
      <w:pPr>
        <w:spacing w:line="560" w:lineRule="exact"/>
        <w:ind w:firstLine="0" w:firstLineChars="0"/>
        <w:rPr>
          <w:rFonts w:hint="eastAsia" w:ascii="楷体_GB2312" w:hAnsi="Calibri" w:eastAsia="楷体_GB2312" w:cs="Times New Roman"/>
          <w:b w:val="0"/>
          <w:bCs w:val="0"/>
          <w:color w:val="auto"/>
          <w:sz w:val="32"/>
          <w:szCs w:val="32"/>
          <w:u w:val="none"/>
        </w:rPr>
      </w:pPr>
    </w:p>
    <w:p>
      <w:pPr>
        <w:spacing w:line="560" w:lineRule="exact"/>
        <w:ind w:firstLine="640" w:firstLineChars="200"/>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eastAsia="zh-CN"/>
        </w:rPr>
        <w:t>一</w:t>
      </w:r>
      <w:r>
        <w:rPr>
          <w:rFonts w:hint="eastAsia" w:ascii="黑体" w:hAnsi="Calibri" w:eastAsia="黑体" w:cs="Times New Roman"/>
          <w:b w:val="0"/>
          <w:bCs w:val="0"/>
          <w:color w:val="auto"/>
          <w:sz w:val="32"/>
          <w:szCs w:val="32"/>
          <w:u w:val="none"/>
        </w:rPr>
        <w:t>、录取批次设置</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一</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提前批。包括</w:t>
      </w:r>
      <w:r>
        <w:rPr>
          <w:rFonts w:hint="eastAsia" w:ascii="仿宋_GB2312" w:hAnsi="仿宋_GB2312" w:eastAsia="仿宋_GB2312" w:cs="仿宋_GB2312"/>
          <w:b w:val="0"/>
          <w:bCs w:val="0"/>
          <w:color w:val="auto"/>
          <w:sz w:val="32"/>
          <w:szCs w:val="32"/>
          <w:u w:val="none"/>
          <w:lang w:val="en-US" w:eastAsia="zh-CN"/>
        </w:rPr>
        <w:t>3所市属普通高中的卓越班或实验班、</w:t>
      </w:r>
      <w:r>
        <w:rPr>
          <w:rFonts w:hint="eastAsia" w:ascii="仿宋_GB2312" w:hAnsi="仿宋_GB2312" w:eastAsia="仿宋_GB2312" w:cs="仿宋_GB2312"/>
          <w:b w:val="0"/>
          <w:bCs w:val="0"/>
          <w:color w:val="auto"/>
          <w:sz w:val="32"/>
          <w:szCs w:val="32"/>
          <w:u w:val="none"/>
        </w:rPr>
        <w:t>普通高中自主招生</w:t>
      </w:r>
      <w:r>
        <w:rPr>
          <w:rFonts w:hint="eastAsia" w:ascii="仿宋_GB2312" w:hAnsi="仿宋_GB2312" w:eastAsia="仿宋_GB2312" w:cs="仿宋_GB2312"/>
          <w:b w:val="0"/>
          <w:bCs w:val="0"/>
          <w:color w:val="auto"/>
          <w:sz w:val="32"/>
          <w:szCs w:val="32"/>
          <w:u w:val="none"/>
          <w:lang w:eastAsia="zh-CN"/>
        </w:rPr>
        <w:t>、市一中等</w:t>
      </w:r>
      <w:r>
        <w:rPr>
          <w:rFonts w:hint="eastAsia" w:ascii="仿宋_GB2312" w:hAnsi="仿宋_GB2312" w:eastAsia="仿宋_GB2312" w:cs="仿宋_GB2312"/>
          <w:b w:val="0"/>
          <w:bCs w:val="0"/>
          <w:color w:val="auto"/>
          <w:sz w:val="32"/>
          <w:szCs w:val="32"/>
          <w:u w:val="none"/>
          <w:lang w:val="en-US" w:eastAsia="zh-CN"/>
        </w:rPr>
        <w:t>11</w:t>
      </w:r>
      <w:r>
        <w:rPr>
          <w:rFonts w:hint="eastAsia" w:ascii="仿宋_GB2312" w:hAnsi="仿宋_GB2312" w:eastAsia="仿宋_GB2312" w:cs="仿宋_GB2312"/>
          <w:b w:val="0"/>
          <w:bCs w:val="0"/>
          <w:color w:val="auto"/>
          <w:sz w:val="32"/>
          <w:szCs w:val="32"/>
          <w:u w:val="none"/>
          <w:lang w:eastAsia="zh-CN"/>
        </w:rPr>
        <w:t>所学校</w:t>
      </w:r>
      <w:r>
        <w:rPr>
          <w:rStyle w:val="13"/>
          <w:rFonts w:hint="eastAsia" w:ascii="仿宋_GB2312" w:hAnsi="仿宋_GB2312" w:eastAsia="仿宋_GB2312" w:cs="仿宋_GB2312"/>
          <w:b w:val="0"/>
          <w:bCs w:val="0"/>
          <w:color w:val="auto"/>
          <w:sz w:val="32"/>
          <w:szCs w:val="32"/>
          <w:u w:val="none"/>
          <w:lang w:eastAsia="zh-CN"/>
        </w:rPr>
        <w:footnoteReference w:id="0"/>
      </w:r>
      <w:r>
        <w:rPr>
          <w:rFonts w:hint="eastAsia" w:ascii="仿宋_GB2312" w:hAnsi="仿宋_GB2312" w:eastAsia="仿宋_GB2312" w:cs="仿宋_GB2312"/>
          <w:b w:val="0"/>
          <w:bCs w:val="0"/>
          <w:color w:val="auto"/>
          <w:sz w:val="32"/>
          <w:szCs w:val="32"/>
          <w:u w:val="none"/>
          <w:lang w:eastAsia="zh-CN"/>
        </w:rPr>
        <w:t>特长生、其他学校面向全市招生的体艺</w:t>
      </w:r>
      <w:r>
        <w:rPr>
          <w:rFonts w:hint="eastAsia" w:ascii="仿宋_GB2312" w:hAnsi="仿宋_GB2312" w:eastAsia="仿宋_GB2312" w:cs="仿宋_GB2312"/>
          <w:b w:val="0"/>
          <w:bCs w:val="0"/>
          <w:color w:val="auto"/>
          <w:sz w:val="32"/>
          <w:szCs w:val="32"/>
          <w:u w:val="none"/>
          <w:lang w:val="en-US" w:eastAsia="zh-CN"/>
        </w:rPr>
        <w:t>特长生、</w:t>
      </w:r>
      <w:r>
        <w:rPr>
          <w:rFonts w:hint="eastAsia" w:ascii="仿宋_GB2312" w:hAnsi="仿宋_GB2312" w:eastAsia="仿宋_GB2312" w:cs="仿宋_GB2312"/>
          <w:b w:val="0"/>
          <w:bCs w:val="0"/>
          <w:color w:val="auto"/>
          <w:sz w:val="32"/>
          <w:szCs w:val="32"/>
          <w:u w:val="none"/>
          <w:lang w:eastAsia="zh-CN"/>
        </w:rPr>
        <w:t>市中心业余体校和市体育运动学校招生计划、中职本科贯通培养班</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lang w:eastAsia="zh-CN"/>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二</w:t>
      </w:r>
      <w:r>
        <w:rPr>
          <w:rFonts w:hint="eastAsia" w:ascii="仿宋_GB2312" w:hAnsi="仿宋_GB2312" w:eastAsia="仿宋_GB2312" w:cs="仿宋_GB2312"/>
          <w:b w:val="0"/>
          <w:bCs w:val="0"/>
          <w:color w:val="auto"/>
          <w:sz w:val="32"/>
          <w:szCs w:val="32"/>
          <w:u w:val="none"/>
        </w:rPr>
        <w:t>）第一批。包括市一中等</w:t>
      </w:r>
      <w:r>
        <w:rPr>
          <w:rFonts w:hint="eastAsia" w:ascii="仿宋_GB2312" w:hAnsi="仿宋_GB2312" w:eastAsia="仿宋_GB2312" w:cs="仿宋_GB2312"/>
          <w:b w:val="0"/>
          <w:bCs w:val="0"/>
          <w:color w:val="auto"/>
          <w:sz w:val="32"/>
          <w:szCs w:val="32"/>
          <w:u w:val="none"/>
          <w:lang w:val="en-US" w:eastAsia="zh-CN"/>
        </w:rPr>
        <w:t>11</w:t>
      </w:r>
      <w:r>
        <w:rPr>
          <w:rFonts w:hint="eastAsia" w:ascii="仿宋_GB2312" w:hAnsi="仿宋_GB2312" w:eastAsia="仿宋_GB2312" w:cs="仿宋_GB2312"/>
          <w:b w:val="0"/>
          <w:bCs w:val="0"/>
          <w:color w:val="auto"/>
          <w:sz w:val="32"/>
          <w:szCs w:val="32"/>
          <w:u w:val="none"/>
        </w:rPr>
        <w:t>所学校名额分配</w:t>
      </w:r>
      <w:r>
        <w:rPr>
          <w:rFonts w:hint="eastAsia" w:ascii="仿宋_GB2312" w:hAnsi="仿宋_GB2312" w:eastAsia="仿宋_GB2312" w:cs="仿宋_GB2312"/>
          <w:b w:val="0"/>
          <w:bCs w:val="0"/>
          <w:color w:val="auto"/>
          <w:sz w:val="32"/>
          <w:szCs w:val="32"/>
          <w:u w:val="none"/>
          <w:lang w:eastAsia="zh-CN"/>
        </w:rPr>
        <w:t>（指标生）、</w:t>
      </w:r>
      <w:r>
        <w:rPr>
          <w:rFonts w:hint="eastAsia" w:ascii="仿宋_GB2312" w:hAnsi="仿宋_GB2312" w:eastAsia="仿宋_GB2312" w:cs="仿宋_GB2312"/>
          <w:b w:val="0"/>
          <w:bCs w:val="0"/>
          <w:color w:val="auto"/>
          <w:sz w:val="32"/>
          <w:szCs w:val="32"/>
          <w:u w:val="none"/>
        </w:rPr>
        <w:t>市一中</w:t>
      </w:r>
      <w:r>
        <w:rPr>
          <w:rFonts w:hint="eastAsia" w:ascii="仿宋_GB2312" w:hAnsi="仿宋_GB2312" w:eastAsia="仿宋_GB2312" w:cs="仿宋_GB2312"/>
          <w:b w:val="0"/>
          <w:bCs w:val="0"/>
          <w:color w:val="auto"/>
          <w:sz w:val="32"/>
          <w:szCs w:val="32"/>
          <w:u w:val="none"/>
          <w:lang w:eastAsia="zh-CN"/>
        </w:rPr>
        <w:t>等11所</w:t>
      </w:r>
      <w:r>
        <w:rPr>
          <w:rFonts w:hint="eastAsia" w:ascii="仿宋_GB2312" w:hAnsi="仿宋_GB2312" w:eastAsia="仿宋_GB2312" w:cs="仿宋_GB2312"/>
          <w:b w:val="0"/>
          <w:bCs w:val="0"/>
          <w:color w:val="auto"/>
          <w:sz w:val="32"/>
          <w:szCs w:val="32"/>
          <w:u w:val="none"/>
        </w:rPr>
        <w:t>学校</w:t>
      </w:r>
      <w:r>
        <w:rPr>
          <w:rFonts w:hint="eastAsia" w:ascii="仿宋_GB2312" w:hAnsi="仿宋_GB2312" w:eastAsia="仿宋_GB2312" w:cs="仿宋_GB2312"/>
          <w:b w:val="0"/>
          <w:bCs w:val="0"/>
          <w:color w:val="auto"/>
          <w:sz w:val="32"/>
          <w:szCs w:val="32"/>
          <w:u w:val="none"/>
          <w:lang w:val="en-US" w:eastAsia="zh-CN"/>
        </w:rPr>
        <w:t>普通生（含</w:t>
      </w:r>
      <w:r>
        <w:rPr>
          <w:rFonts w:hint="eastAsia" w:ascii="仿宋_GB2312" w:hAnsi="仿宋_GB2312" w:eastAsia="仿宋_GB2312" w:cs="仿宋_GB2312"/>
          <w:b w:val="0"/>
          <w:bCs w:val="0"/>
          <w:color w:val="auto"/>
          <w:sz w:val="32"/>
          <w:szCs w:val="32"/>
          <w:u w:val="none"/>
        </w:rPr>
        <w:t>剩余招生计划</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面向全市招生的普通高中普通生</w:t>
      </w:r>
      <w:r>
        <w:rPr>
          <w:rFonts w:hint="eastAsia" w:ascii="仿宋_GB2312" w:hAnsi="仿宋_GB2312" w:eastAsia="仿宋_GB2312" w:cs="仿宋_GB2312"/>
          <w:b w:val="0"/>
          <w:bCs w:val="0"/>
          <w:color w:val="auto"/>
          <w:sz w:val="32"/>
          <w:szCs w:val="32"/>
          <w:u w:val="none"/>
          <w:lang w:eastAsia="zh-CN"/>
        </w:rPr>
        <w:t>和</w:t>
      </w:r>
      <w:r>
        <w:rPr>
          <w:rFonts w:hint="eastAsia" w:ascii="仿宋_GB2312" w:hAnsi="仿宋_GB2312" w:eastAsia="仿宋_GB2312" w:cs="仿宋_GB2312"/>
          <w:b w:val="0"/>
          <w:bCs w:val="0"/>
          <w:color w:val="auto"/>
          <w:sz w:val="32"/>
          <w:szCs w:val="32"/>
          <w:u w:val="none"/>
        </w:rPr>
        <w:t>民办</w:t>
      </w:r>
      <w:r>
        <w:rPr>
          <w:rFonts w:hint="eastAsia" w:ascii="仿宋_GB2312" w:hAnsi="仿宋_GB2312" w:eastAsia="仿宋_GB2312" w:cs="仿宋_GB2312"/>
          <w:b w:val="0"/>
          <w:bCs w:val="0"/>
          <w:color w:val="auto"/>
          <w:sz w:val="32"/>
          <w:szCs w:val="32"/>
          <w:u w:val="none"/>
          <w:lang w:eastAsia="zh-CN"/>
        </w:rPr>
        <w:t>普通高中</w:t>
      </w:r>
      <w:r>
        <w:rPr>
          <w:rFonts w:hint="eastAsia" w:ascii="仿宋_GB2312" w:hAnsi="仿宋_GB2312" w:eastAsia="仿宋_GB2312" w:cs="仿宋_GB2312"/>
          <w:b w:val="0"/>
          <w:bCs w:val="0"/>
          <w:color w:val="auto"/>
          <w:sz w:val="32"/>
          <w:szCs w:val="32"/>
          <w:u w:val="none"/>
        </w:rPr>
        <w:t>公费生</w:t>
      </w:r>
      <w:r>
        <w:rPr>
          <w:rFonts w:hint="eastAsia" w:ascii="仿宋_GB2312" w:hAnsi="仿宋_GB2312" w:eastAsia="仿宋_GB2312" w:cs="仿宋_GB2312"/>
          <w:b w:val="0"/>
          <w:bCs w:val="0"/>
          <w:color w:val="auto"/>
          <w:sz w:val="32"/>
          <w:szCs w:val="32"/>
          <w:u w:val="none"/>
          <w:lang w:eastAsia="zh-CN"/>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三</w:t>
      </w:r>
      <w:r>
        <w:rPr>
          <w:rFonts w:hint="eastAsia" w:ascii="仿宋_GB2312" w:hAnsi="仿宋_GB2312" w:eastAsia="仿宋_GB2312" w:cs="仿宋_GB2312"/>
          <w:b w:val="0"/>
          <w:bCs w:val="0"/>
          <w:color w:val="auto"/>
          <w:sz w:val="32"/>
          <w:szCs w:val="32"/>
          <w:u w:val="none"/>
        </w:rPr>
        <w:t>）第二批。包括区内招生</w:t>
      </w:r>
      <w:r>
        <w:rPr>
          <w:rFonts w:hint="eastAsia" w:ascii="仿宋_GB2312" w:hAnsi="仿宋_GB2312" w:eastAsia="仿宋_GB2312" w:cs="仿宋_GB2312"/>
          <w:b w:val="0"/>
          <w:bCs w:val="0"/>
          <w:color w:val="auto"/>
          <w:sz w:val="32"/>
          <w:szCs w:val="32"/>
          <w:u w:val="none"/>
          <w:lang w:eastAsia="zh-CN"/>
        </w:rPr>
        <w:t>的</w:t>
      </w:r>
      <w:r>
        <w:rPr>
          <w:rFonts w:hint="eastAsia" w:ascii="仿宋_GB2312" w:hAnsi="仿宋_GB2312" w:eastAsia="仿宋_GB2312" w:cs="仿宋_GB2312"/>
          <w:b w:val="0"/>
          <w:bCs w:val="0"/>
          <w:color w:val="auto"/>
          <w:sz w:val="32"/>
          <w:szCs w:val="32"/>
          <w:u w:val="none"/>
        </w:rPr>
        <w:t>公办普通高中</w:t>
      </w:r>
      <w:r>
        <w:rPr>
          <w:rFonts w:hint="eastAsia" w:ascii="仿宋_GB2312" w:hAnsi="仿宋_GB2312" w:eastAsia="仿宋_GB2312" w:cs="仿宋_GB2312"/>
          <w:b w:val="0"/>
          <w:bCs w:val="0"/>
          <w:color w:val="auto"/>
          <w:sz w:val="32"/>
          <w:szCs w:val="32"/>
          <w:u w:val="none"/>
          <w:lang w:val="en-US" w:eastAsia="zh-CN"/>
        </w:rPr>
        <w:t>招生计划</w:t>
      </w:r>
      <w:r>
        <w:rPr>
          <w:rFonts w:hint="eastAsia" w:ascii="仿宋_GB2312" w:hAnsi="仿宋_GB2312" w:eastAsia="仿宋_GB2312" w:cs="仿宋_GB2312"/>
          <w:b w:val="0"/>
          <w:bCs w:val="0"/>
          <w:color w:val="auto"/>
          <w:sz w:val="32"/>
          <w:szCs w:val="32"/>
          <w:u w:val="none"/>
        </w:rPr>
        <w:t>（含</w:t>
      </w:r>
      <w:r>
        <w:rPr>
          <w:rFonts w:hint="eastAsia" w:ascii="仿宋_GB2312" w:hAnsi="仿宋_GB2312" w:eastAsia="仿宋_GB2312" w:cs="仿宋_GB2312"/>
          <w:b w:val="0"/>
          <w:bCs w:val="0"/>
          <w:color w:val="auto"/>
          <w:sz w:val="32"/>
          <w:szCs w:val="32"/>
          <w:u w:val="none"/>
          <w:lang w:eastAsia="zh-CN"/>
        </w:rPr>
        <w:t>名额分配、普通生</w:t>
      </w:r>
      <w:r>
        <w:rPr>
          <w:rFonts w:hint="eastAsia" w:ascii="仿宋_GB2312" w:hAnsi="仿宋_GB2312" w:eastAsia="仿宋_GB2312" w:cs="仿宋_GB2312"/>
          <w:b w:val="0"/>
          <w:bCs w:val="0"/>
          <w:color w:val="auto"/>
          <w:sz w:val="32"/>
          <w:szCs w:val="32"/>
          <w:u w:val="none"/>
        </w:rPr>
        <w:t>等）</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民办普通高中</w:t>
      </w:r>
      <w:r>
        <w:rPr>
          <w:rFonts w:hint="eastAsia" w:ascii="仿宋_GB2312" w:hAnsi="仿宋_GB2312" w:eastAsia="仿宋_GB2312" w:cs="仿宋_GB2312"/>
          <w:b w:val="0"/>
          <w:bCs w:val="0"/>
          <w:color w:val="auto"/>
          <w:sz w:val="32"/>
          <w:szCs w:val="32"/>
          <w:u w:val="none"/>
          <w:lang w:val="en-US" w:eastAsia="zh-CN"/>
        </w:rPr>
        <w:t>自费</w:t>
      </w:r>
      <w:r>
        <w:rPr>
          <w:rFonts w:hint="eastAsia" w:ascii="仿宋_GB2312" w:hAnsi="仿宋_GB2312" w:eastAsia="仿宋_GB2312" w:cs="仿宋_GB2312"/>
          <w:b w:val="0"/>
          <w:bCs w:val="0"/>
          <w:color w:val="auto"/>
          <w:sz w:val="32"/>
          <w:szCs w:val="32"/>
          <w:u w:val="none"/>
          <w:lang w:eastAsia="zh-CN"/>
        </w:rPr>
        <w:t>生、</w:t>
      </w:r>
      <w:r>
        <w:rPr>
          <w:rFonts w:hint="eastAsia" w:ascii="仿宋_GB2312" w:hAnsi="仿宋_GB2312" w:eastAsia="仿宋_GB2312" w:cs="仿宋_GB2312"/>
          <w:b w:val="0"/>
          <w:bCs w:val="0"/>
          <w:color w:val="auto"/>
          <w:sz w:val="32"/>
          <w:szCs w:val="32"/>
          <w:u w:val="none"/>
          <w:lang w:val="en-US" w:eastAsia="zh-CN"/>
        </w:rPr>
        <w:t>职普融通试点专业</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具体层次由各区设置</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四</w:t>
      </w:r>
      <w:r>
        <w:rPr>
          <w:rFonts w:hint="eastAsia" w:ascii="仿宋_GB2312" w:hAnsi="仿宋_GB2312" w:eastAsia="仿宋_GB2312" w:cs="仿宋_GB2312"/>
          <w:b w:val="0"/>
          <w:bCs w:val="0"/>
          <w:color w:val="auto"/>
          <w:sz w:val="32"/>
          <w:szCs w:val="32"/>
          <w:u w:val="none"/>
        </w:rPr>
        <w:t>）第三批。包括面向全市招生的中高职教育贯通实验班、三二分段中高职衔</w:t>
      </w:r>
      <w:r>
        <w:rPr>
          <w:rFonts w:hint="eastAsia" w:ascii="仿宋_GB2312" w:hAnsi="仿宋_GB2312" w:eastAsia="仿宋_GB2312" w:cs="仿宋_GB2312"/>
          <w:b w:val="0"/>
          <w:bCs w:val="0"/>
          <w:color w:val="auto"/>
          <w:sz w:val="32"/>
          <w:szCs w:val="32"/>
          <w:u w:val="none"/>
          <w:lang w:eastAsia="zh-CN"/>
        </w:rPr>
        <w:t>接、</w:t>
      </w:r>
      <w:r>
        <w:rPr>
          <w:rFonts w:hint="eastAsia" w:ascii="仿宋_GB2312" w:hAnsi="仿宋_GB2312" w:eastAsia="仿宋_GB2312" w:cs="仿宋_GB2312"/>
          <w:b w:val="0"/>
          <w:bCs w:val="0"/>
          <w:color w:val="auto"/>
          <w:sz w:val="32"/>
          <w:szCs w:val="32"/>
          <w:u w:val="none"/>
        </w:rPr>
        <w:t>面向全市招生</w:t>
      </w:r>
      <w:r>
        <w:rPr>
          <w:rFonts w:hint="eastAsia" w:ascii="仿宋_GB2312" w:hAnsi="仿宋_GB2312" w:eastAsia="仿宋_GB2312" w:cs="仿宋_GB2312"/>
          <w:b w:val="0"/>
          <w:bCs w:val="0"/>
          <w:color w:val="auto"/>
          <w:sz w:val="32"/>
          <w:szCs w:val="32"/>
          <w:u w:val="none"/>
          <w:lang w:eastAsia="zh-CN"/>
        </w:rPr>
        <w:t>和面向区内招生</w:t>
      </w:r>
      <w:r>
        <w:rPr>
          <w:rFonts w:hint="eastAsia" w:ascii="仿宋_GB2312" w:hAnsi="仿宋_GB2312" w:eastAsia="仿宋_GB2312" w:cs="仿宋_GB2312"/>
          <w:b w:val="0"/>
          <w:bCs w:val="0"/>
          <w:color w:val="auto"/>
          <w:sz w:val="32"/>
          <w:szCs w:val="32"/>
          <w:u w:val="none"/>
        </w:rPr>
        <w:t>的中等职业学校（含技工学校）</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部省属及外地在我市招生的中等职业学校（含技工学校）。</w:t>
      </w:r>
    </w:p>
    <w:p>
      <w:pPr>
        <w:spacing w:line="560" w:lineRule="exact"/>
        <w:ind w:firstLine="640" w:firstLineChars="200"/>
        <w:rPr>
          <w:rFonts w:hint="eastAsia" w:ascii="黑体" w:hAnsi="Calibri" w:eastAsia="黑体"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第二批次录取结束后，将组织</w:t>
      </w:r>
      <w:r>
        <w:rPr>
          <w:rFonts w:hint="eastAsia" w:ascii="仿宋_GB2312" w:hAnsi="Calibri" w:eastAsia="仿宋_GB2312" w:cs="Times New Roman"/>
          <w:b w:val="0"/>
          <w:bCs w:val="0"/>
          <w:color w:val="auto"/>
          <w:sz w:val="32"/>
          <w:szCs w:val="32"/>
          <w:u w:val="none"/>
        </w:rPr>
        <w:t>普通高中补录。公办普通高中剩余计划面向区内招生，民办普通高中剩余计划面向全市招生。</w:t>
      </w:r>
    </w:p>
    <w:p>
      <w:pPr>
        <w:spacing w:line="560" w:lineRule="exact"/>
        <w:ind w:firstLine="640" w:firstLineChars="200"/>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eastAsia="zh-CN"/>
        </w:rPr>
        <w:t>二</w:t>
      </w:r>
      <w:r>
        <w:rPr>
          <w:rFonts w:hint="eastAsia" w:ascii="黑体" w:hAnsi="Calibri" w:eastAsia="黑体" w:cs="Times New Roman"/>
          <w:b w:val="0"/>
          <w:bCs w:val="0"/>
          <w:color w:val="auto"/>
          <w:sz w:val="32"/>
          <w:szCs w:val="32"/>
          <w:u w:val="none"/>
        </w:rPr>
        <w:t>、招生计划设置</w:t>
      </w:r>
    </w:p>
    <w:p>
      <w:pPr>
        <w:spacing w:line="560" w:lineRule="exact"/>
        <w:ind w:firstLine="640" w:firstLineChars="200"/>
        <w:rPr>
          <w:rFonts w:hint="eastAsia" w:ascii="楷体_GB2312" w:hAnsi="Calibri" w:eastAsia="楷体_GB2312" w:cs="Times New Roman"/>
          <w:b w:val="0"/>
          <w:bCs w:val="0"/>
          <w:color w:val="auto"/>
          <w:sz w:val="32"/>
          <w:szCs w:val="32"/>
          <w:u w:val="none"/>
        </w:rPr>
      </w:pPr>
      <w:r>
        <w:rPr>
          <w:rFonts w:hint="eastAsia" w:ascii="楷体_GB2312" w:hAnsi="Calibri" w:eastAsia="楷体_GB2312" w:cs="Times New Roman"/>
          <w:b w:val="0"/>
          <w:bCs w:val="0"/>
          <w:color w:val="auto"/>
          <w:sz w:val="32"/>
          <w:szCs w:val="32"/>
          <w:u w:val="none"/>
        </w:rPr>
        <w:t>（一）面向全市招生</w:t>
      </w:r>
      <w:r>
        <w:rPr>
          <w:rFonts w:hint="eastAsia" w:ascii="楷体_GB2312" w:hAnsi="Calibri" w:eastAsia="楷体_GB2312" w:cs="Times New Roman"/>
          <w:b w:val="0"/>
          <w:bCs w:val="0"/>
          <w:color w:val="auto"/>
          <w:sz w:val="32"/>
          <w:szCs w:val="32"/>
          <w:u w:val="none"/>
          <w:lang w:eastAsia="zh-CN"/>
        </w:rPr>
        <w:t>的</w:t>
      </w:r>
      <w:r>
        <w:rPr>
          <w:rFonts w:hint="eastAsia" w:ascii="楷体_GB2312" w:hAnsi="Calibri" w:eastAsia="楷体_GB2312" w:cs="Times New Roman"/>
          <w:b w:val="0"/>
          <w:bCs w:val="0"/>
          <w:color w:val="auto"/>
          <w:sz w:val="32"/>
          <w:szCs w:val="32"/>
          <w:u w:val="none"/>
        </w:rPr>
        <w:t>普通高中学校。</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1.公办普通高中。</w:t>
      </w:r>
    </w:p>
    <w:p>
      <w:pPr>
        <w:spacing w:line="560" w:lineRule="exact"/>
        <w:ind w:firstLine="640" w:firstLineChars="200"/>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（1）自主招生及特长类招生计划。</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获批市级高水平特色创建项目学校</w:t>
      </w:r>
      <w:r>
        <w:rPr>
          <w:rFonts w:hint="eastAsia" w:ascii="仿宋_GB2312" w:hAnsi="Calibri" w:eastAsia="仿宋_GB2312" w:cs="Times New Roman"/>
          <w:b w:val="0"/>
          <w:bCs w:val="0"/>
          <w:color w:val="auto"/>
          <w:sz w:val="32"/>
          <w:szCs w:val="32"/>
          <w:u w:val="none"/>
        </w:rPr>
        <w:t>在</w:t>
      </w:r>
      <w:r>
        <w:rPr>
          <w:rFonts w:hint="eastAsia" w:ascii="仿宋_GB2312" w:hAnsi="Calibri" w:eastAsia="仿宋_GB2312" w:cs="Times New Roman"/>
          <w:b w:val="0"/>
          <w:bCs w:val="0"/>
          <w:color w:val="auto"/>
          <w:sz w:val="32"/>
          <w:szCs w:val="32"/>
          <w:u w:val="none"/>
          <w:lang w:eastAsia="zh-CN"/>
        </w:rPr>
        <w:t>提前批</w:t>
      </w:r>
      <w:r>
        <w:rPr>
          <w:rFonts w:hint="eastAsia" w:ascii="仿宋_GB2312" w:hAnsi="Calibri" w:eastAsia="仿宋_GB2312" w:cs="Times New Roman"/>
          <w:b w:val="0"/>
          <w:bCs w:val="0"/>
          <w:color w:val="auto"/>
          <w:sz w:val="32"/>
          <w:szCs w:val="32"/>
          <w:u w:val="none"/>
        </w:rPr>
        <w:t>面向全市招生</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同一所学校自主招生计划和体艺等各类特长特色类型招生计划合计数，不超过学校年度招生计划10%。</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市一中等11所学校</w:t>
      </w:r>
      <w:r>
        <w:rPr>
          <w:rFonts w:hint="eastAsia" w:ascii="仿宋_GB2312" w:hAnsi="Calibri" w:eastAsia="仿宋_GB2312" w:cs="Times New Roman"/>
          <w:b w:val="0"/>
          <w:bCs w:val="0"/>
          <w:color w:val="auto"/>
          <w:sz w:val="32"/>
          <w:szCs w:val="32"/>
          <w:u w:val="none"/>
          <w:lang w:val="en-US" w:eastAsia="zh-CN"/>
        </w:rPr>
        <w:t>和部分普通高中可</w:t>
      </w:r>
      <w:r>
        <w:rPr>
          <w:rFonts w:hint="eastAsia" w:ascii="仿宋_GB2312" w:hAnsi="Calibri" w:eastAsia="仿宋_GB2312" w:cs="Times New Roman"/>
          <w:b w:val="0"/>
          <w:bCs w:val="0"/>
          <w:color w:val="auto"/>
          <w:sz w:val="32"/>
          <w:szCs w:val="32"/>
          <w:u w:val="none"/>
          <w:lang w:eastAsia="zh-CN"/>
        </w:rPr>
        <w:t>在提前批面向全市</w:t>
      </w:r>
      <w:r>
        <w:rPr>
          <w:rFonts w:hint="eastAsia" w:ascii="仿宋_GB2312" w:hAnsi="Calibri" w:eastAsia="仿宋_GB2312" w:cs="Times New Roman"/>
          <w:b w:val="0"/>
          <w:bCs w:val="0"/>
          <w:color w:val="auto"/>
          <w:sz w:val="32"/>
          <w:szCs w:val="32"/>
          <w:u w:val="none"/>
        </w:rPr>
        <w:t>招收体育</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艺术</w:t>
      </w:r>
      <w:r>
        <w:rPr>
          <w:rFonts w:hint="eastAsia" w:ascii="仿宋_GB2312" w:hAnsi="Calibri" w:eastAsia="仿宋_GB2312" w:cs="Times New Roman"/>
          <w:b w:val="0"/>
          <w:bCs w:val="0"/>
          <w:color w:val="auto"/>
          <w:sz w:val="32"/>
          <w:szCs w:val="32"/>
          <w:u w:val="none"/>
          <w:lang w:eastAsia="zh-CN"/>
        </w:rPr>
        <w:t>类特长生，</w:t>
      </w:r>
      <w:r>
        <w:rPr>
          <w:rFonts w:hint="eastAsia" w:ascii="仿宋_GB2312" w:hAnsi="Calibri" w:eastAsia="仿宋_GB2312" w:cs="Times New Roman"/>
          <w:b w:val="0"/>
          <w:bCs w:val="0"/>
          <w:color w:val="auto"/>
          <w:sz w:val="32"/>
          <w:szCs w:val="32"/>
          <w:u w:val="none"/>
          <w:lang w:val="en-US" w:eastAsia="zh-CN"/>
        </w:rPr>
        <w:t>每年根据学校办学实际需要进行调整，</w:t>
      </w:r>
      <w:r>
        <w:rPr>
          <w:rFonts w:hint="eastAsia" w:ascii="仿宋_GB2312" w:hAnsi="Calibri" w:eastAsia="仿宋_GB2312" w:cs="Times New Roman"/>
          <w:b w:val="0"/>
          <w:bCs w:val="0"/>
          <w:color w:val="auto"/>
          <w:sz w:val="32"/>
          <w:szCs w:val="32"/>
          <w:u w:val="none"/>
          <w:lang w:eastAsia="zh-CN"/>
        </w:rPr>
        <w:t>具体计划由学校</w:t>
      </w:r>
      <w:r>
        <w:rPr>
          <w:rFonts w:hint="eastAsia" w:ascii="仿宋_GB2312" w:hAnsi="Calibri" w:eastAsia="仿宋_GB2312" w:cs="Times New Roman"/>
          <w:b w:val="0"/>
          <w:bCs w:val="0"/>
          <w:color w:val="auto"/>
          <w:sz w:val="32"/>
          <w:szCs w:val="32"/>
          <w:u w:val="none"/>
        </w:rPr>
        <w:t>报市</w:t>
      </w:r>
      <w:r>
        <w:rPr>
          <w:rFonts w:hint="eastAsia" w:ascii="仿宋_GB2312" w:hAnsi="Calibri" w:eastAsia="仿宋_GB2312" w:cs="Times New Roman"/>
          <w:b w:val="0"/>
          <w:bCs w:val="0"/>
          <w:color w:val="auto"/>
          <w:sz w:val="32"/>
          <w:szCs w:val="32"/>
          <w:u w:val="none"/>
          <w:lang w:eastAsia="zh-CN"/>
        </w:rPr>
        <w:t>、区</w:t>
      </w:r>
      <w:r>
        <w:rPr>
          <w:rFonts w:hint="eastAsia" w:ascii="仿宋_GB2312" w:hAnsi="Calibri" w:eastAsia="仿宋_GB2312" w:cs="Times New Roman"/>
          <w:b w:val="0"/>
          <w:bCs w:val="0"/>
          <w:color w:val="auto"/>
          <w:sz w:val="32"/>
          <w:szCs w:val="32"/>
          <w:u w:val="none"/>
        </w:rPr>
        <w:t>教育局审核批准后实施。</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eastAsia="zh-CN"/>
        </w:rPr>
        <w:t>名额分配（指标生）计划</w:t>
      </w:r>
      <w:r>
        <w:rPr>
          <w:rFonts w:hint="eastAsia" w:ascii="仿宋_GB2312" w:hAnsi="Calibri" w:eastAsia="仿宋_GB2312" w:cs="Times New Roman"/>
          <w:b w:val="0"/>
          <w:bCs w:val="0"/>
          <w:color w:val="auto"/>
          <w:sz w:val="32"/>
          <w:szCs w:val="32"/>
          <w:u w:val="none"/>
        </w:rPr>
        <w:t>。</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市一中</w:t>
      </w:r>
      <w:r>
        <w:rPr>
          <w:rFonts w:hint="eastAsia" w:ascii="仿宋_GB2312" w:hAnsi="Calibri" w:eastAsia="仿宋_GB2312" w:cs="Times New Roman"/>
          <w:b w:val="0"/>
          <w:bCs w:val="0"/>
          <w:color w:val="auto"/>
          <w:sz w:val="32"/>
          <w:szCs w:val="32"/>
          <w:u w:val="none"/>
          <w:lang w:val="en-US" w:eastAsia="zh-CN"/>
        </w:rPr>
        <w:t>等11所学校中，市一中</w:t>
      </w:r>
      <w:r>
        <w:rPr>
          <w:rFonts w:hint="eastAsia" w:ascii="仿宋_GB2312" w:hAnsi="Calibri" w:eastAsia="仿宋_GB2312" w:cs="Times New Roman"/>
          <w:b w:val="0"/>
          <w:bCs w:val="0"/>
          <w:color w:val="auto"/>
          <w:sz w:val="32"/>
          <w:szCs w:val="32"/>
          <w:u w:val="none"/>
        </w:rPr>
        <w:t>安排</w:t>
      </w:r>
      <w:r>
        <w:rPr>
          <w:rFonts w:hint="eastAsia" w:ascii="仿宋_GB2312" w:hAnsi="Calibri" w:eastAsia="仿宋_GB2312" w:cs="Times New Roman"/>
          <w:b w:val="0"/>
          <w:bCs w:val="0"/>
          <w:color w:val="auto"/>
          <w:sz w:val="32"/>
          <w:szCs w:val="32"/>
          <w:u w:val="none"/>
          <w:lang w:eastAsia="zh-CN"/>
        </w:rPr>
        <w:t>总计划的</w:t>
      </w:r>
      <w:r>
        <w:rPr>
          <w:rFonts w:hint="eastAsia" w:ascii="仿宋_GB2312" w:hAnsi="Calibri" w:eastAsia="仿宋_GB2312" w:cs="Times New Roman"/>
          <w:b w:val="0"/>
          <w:bCs w:val="0"/>
          <w:color w:val="auto"/>
          <w:sz w:val="32"/>
          <w:szCs w:val="32"/>
          <w:u w:val="none"/>
        </w:rPr>
        <w:t>50%</w:t>
      </w:r>
      <w:r>
        <w:rPr>
          <w:rFonts w:hint="eastAsia" w:ascii="仿宋_GB2312" w:hAnsi="Calibri" w:eastAsia="仿宋_GB2312" w:cs="Times New Roman"/>
          <w:b w:val="0"/>
          <w:bCs w:val="0"/>
          <w:color w:val="auto"/>
          <w:sz w:val="32"/>
          <w:szCs w:val="32"/>
          <w:u w:val="none"/>
          <w:lang w:eastAsia="zh-CN"/>
        </w:rPr>
        <w:t>作为</w:t>
      </w:r>
      <w:r>
        <w:rPr>
          <w:rFonts w:hint="eastAsia" w:ascii="仿宋_GB2312" w:hAnsi="Calibri" w:eastAsia="仿宋_GB2312" w:cs="Times New Roman"/>
          <w:b w:val="0"/>
          <w:bCs w:val="0"/>
          <w:color w:val="auto"/>
          <w:sz w:val="32"/>
          <w:szCs w:val="32"/>
          <w:u w:val="none"/>
        </w:rPr>
        <w:t>名额分配</w:t>
      </w:r>
      <w:r>
        <w:rPr>
          <w:rFonts w:hint="eastAsia" w:ascii="仿宋_GB2312" w:hAnsi="Calibri" w:eastAsia="仿宋_GB2312" w:cs="Times New Roman"/>
          <w:b w:val="0"/>
          <w:bCs w:val="0"/>
          <w:color w:val="auto"/>
          <w:sz w:val="32"/>
          <w:szCs w:val="32"/>
          <w:u w:val="none"/>
          <w:lang w:eastAsia="zh-CN"/>
        </w:rPr>
        <w:t>计划在第一批</w:t>
      </w:r>
      <w:r>
        <w:rPr>
          <w:rFonts w:hint="eastAsia" w:ascii="仿宋_GB2312" w:hAnsi="Calibri" w:eastAsia="仿宋_GB2312" w:cs="Times New Roman"/>
          <w:b w:val="0"/>
          <w:bCs w:val="0"/>
          <w:color w:val="auto"/>
          <w:sz w:val="32"/>
          <w:szCs w:val="32"/>
          <w:u w:val="none"/>
        </w:rPr>
        <w:t>面向全市招生</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其他10</w:t>
      </w:r>
      <w:r>
        <w:rPr>
          <w:rFonts w:hint="eastAsia" w:ascii="仿宋_GB2312" w:hAnsi="Calibri" w:eastAsia="仿宋_GB2312" w:cs="Times New Roman"/>
          <w:b w:val="0"/>
          <w:bCs w:val="0"/>
          <w:color w:val="auto"/>
          <w:sz w:val="32"/>
          <w:szCs w:val="32"/>
          <w:u w:val="none"/>
          <w:lang w:eastAsia="zh-CN"/>
        </w:rPr>
        <w:t>所学校</w:t>
      </w:r>
      <w:r>
        <w:rPr>
          <w:rFonts w:hint="eastAsia" w:ascii="仿宋_GB2312" w:hAnsi="Calibri" w:eastAsia="仿宋_GB2312" w:cs="Times New Roman"/>
          <w:b w:val="0"/>
          <w:bCs w:val="0"/>
          <w:color w:val="auto"/>
          <w:sz w:val="32"/>
          <w:szCs w:val="32"/>
          <w:u w:val="none"/>
          <w:lang w:val="en-US" w:eastAsia="zh-CN"/>
        </w:rPr>
        <w:t>各</w:t>
      </w:r>
      <w:r>
        <w:rPr>
          <w:rFonts w:hint="eastAsia" w:ascii="仿宋_GB2312" w:hAnsi="Calibri" w:eastAsia="仿宋_GB2312" w:cs="Times New Roman"/>
          <w:b w:val="0"/>
          <w:bCs w:val="0"/>
          <w:color w:val="auto"/>
          <w:sz w:val="32"/>
          <w:szCs w:val="32"/>
          <w:u w:val="none"/>
          <w:lang w:eastAsia="zh-CN"/>
        </w:rPr>
        <w:t>安排总计划的50%作为名额分配计划在第一批面向区内招生，</w:t>
      </w:r>
      <w:r>
        <w:rPr>
          <w:rFonts w:hint="eastAsia" w:ascii="仿宋_GB2312" w:hAnsi="Calibri" w:eastAsia="仿宋_GB2312" w:cs="Times New Roman"/>
          <w:b w:val="0"/>
          <w:bCs w:val="0"/>
          <w:color w:val="auto"/>
          <w:sz w:val="32"/>
          <w:szCs w:val="32"/>
          <w:u w:val="none"/>
          <w:lang w:val="en-US" w:eastAsia="zh-CN"/>
        </w:rPr>
        <w:t>以上计划</w:t>
      </w:r>
      <w:r>
        <w:rPr>
          <w:rFonts w:hint="eastAsia" w:ascii="仿宋_GB2312" w:hAnsi="Calibri" w:eastAsia="仿宋_GB2312" w:cs="Times New Roman"/>
          <w:b w:val="0"/>
          <w:bCs w:val="0"/>
          <w:color w:val="auto"/>
          <w:sz w:val="32"/>
          <w:szCs w:val="32"/>
          <w:u w:val="none"/>
        </w:rPr>
        <w:t>由市教育局根据符合报考资格人数按比例直接分配到各初中学校</w:t>
      </w:r>
      <w:r>
        <w:rPr>
          <w:rFonts w:hint="eastAsia" w:ascii="仿宋_GB2312" w:hAnsi="Calibri" w:eastAsia="仿宋_GB2312" w:cs="Times New Roman"/>
          <w:b w:val="0"/>
          <w:bCs w:val="0"/>
          <w:color w:val="auto"/>
          <w:sz w:val="32"/>
          <w:szCs w:val="32"/>
          <w:u w:val="none"/>
          <w:lang w:eastAsia="zh-CN"/>
        </w:rPr>
        <w:t>。</w:t>
      </w:r>
    </w:p>
    <w:p>
      <w:pPr>
        <w:spacing w:line="560" w:lineRule="exact"/>
        <w:ind w:firstLine="640" w:firstLineChars="200"/>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（3）普通生招生计划（含剩余招生计划）。</w:t>
      </w:r>
    </w:p>
    <w:p>
      <w:pPr>
        <w:spacing w:line="560" w:lineRule="exact"/>
        <w:ind w:firstLine="640" w:firstLineChars="200"/>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3所</w:t>
      </w:r>
      <w:r>
        <w:rPr>
          <w:rFonts w:hint="eastAsia" w:ascii="仿宋_GB2312" w:hAnsi="Calibri" w:eastAsia="仿宋_GB2312" w:cs="Times New Roman"/>
          <w:b w:val="0"/>
          <w:bCs w:val="0"/>
          <w:color w:val="auto"/>
          <w:sz w:val="32"/>
          <w:szCs w:val="32"/>
          <w:u w:val="none"/>
          <w:lang w:eastAsia="zh-CN"/>
        </w:rPr>
        <w:t>市属普通高中的卓越班或实验班、市一中等11所学校普通生招生计划在第一批面向全市招生</w:t>
      </w:r>
      <w:r>
        <w:rPr>
          <w:rFonts w:hint="eastAsia" w:ascii="仿宋_GB2312" w:hAnsi="Calibri" w:eastAsia="仿宋_GB2312" w:cs="Times New Roman"/>
          <w:b w:val="0"/>
          <w:bCs w:val="0"/>
          <w:color w:val="auto"/>
          <w:sz w:val="32"/>
          <w:szCs w:val="32"/>
          <w:u w:val="none"/>
        </w:rPr>
        <w:t>。市一中</w:t>
      </w:r>
      <w:r>
        <w:rPr>
          <w:rFonts w:hint="eastAsia" w:ascii="仿宋_GB2312" w:hAnsi="Calibri" w:eastAsia="仿宋_GB2312" w:cs="Times New Roman"/>
          <w:b w:val="0"/>
          <w:bCs w:val="0"/>
          <w:color w:val="auto"/>
          <w:sz w:val="32"/>
          <w:szCs w:val="32"/>
          <w:u w:val="none"/>
          <w:lang w:eastAsia="zh-CN"/>
        </w:rPr>
        <w:t>等11所</w:t>
      </w:r>
      <w:r>
        <w:rPr>
          <w:rFonts w:hint="eastAsia" w:ascii="仿宋_GB2312" w:hAnsi="Calibri" w:eastAsia="仿宋_GB2312" w:cs="Times New Roman"/>
          <w:b w:val="0"/>
          <w:bCs w:val="0"/>
          <w:color w:val="auto"/>
          <w:sz w:val="32"/>
          <w:szCs w:val="32"/>
          <w:u w:val="none"/>
        </w:rPr>
        <w:t>学校的体育和艺术类特长生、名额分配等招生类型未能完成的招生计划，自动收回并</w:t>
      </w:r>
      <w:r>
        <w:rPr>
          <w:rFonts w:hint="eastAsia" w:ascii="仿宋_GB2312" w:hAnsi="Calibri" w:eastAsia="仿宋_GB2312" w:cs="Times New Roman"/>
          <w:b w:val="0"/>
          <w:bCs w:val="0"/>
          <w:color w:val="auto"/>
          <w:sz w:val="32"/>
          <w:szCs w:val="32"/>
          <w:u w:val="none"/>
          <w:lang w:val="en-US" w:eastAsia="zh-CN"/>
        </w:rPr>
        <w:t>加到普通生招生计划总数中。</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佛山市第四中学</w:t>
      </w:r>
      <w:r>
        <w:rPr>
          <w:rFonts w:hint="eastAsia" w:ascii="仿宋_GB2312" w:hAnsi="Calibri" w:eastAsia="仿宋_GB2312" w:cs="Times New Roman"/>
          <w:b w:val="0"/>
          <w:bCs w:val="0"/>
          <w:color w:val="auto"/>
          <w:sz w:val="32"/>
          <w:szCs w:val="32"/>
          <w:u w:val="none"/>
          <w:lang w:val="en-US" w:eastAsia="zh-CN"/>
        </w:rPr>
        <w:t>等</w:t>
      </w:r>
      <w:r>
        <w:rPr>
          <w:rFonts w:hint="eastAsia" w:ascii="仿宋_GB2312" w:hAnsi="Calibri" w:eastAsia="仿宋_GB2312" w:cs="Times New Roman"/>
          <w:b w:val="0"/>
          <w:bCs w:val="0"/>
          <w:color w:val="auto"/>
          <w:sz w:val="32"/>
          <w:szCs w:val="32"/>
          <w:u w:val="none"/>
          <w:lang w:eastAsia="zh-CN"/>
        </w:rPr>
        <w:t>2</w:t>
      </w:r>
      <w:r>
        <w:rPr>
          <w:rFonts w:hint="eastAsia" w:ascii="仿宋_GB2312" w:hAnsi="Calibri" w:eastAsia="仿宋_GB2312" w:cs="Times New Roman"/>
          <w:b w:val="0"/>
          <w:bCs w:val="0"/>
          <w:color w:val="auto"/>
          <w:sz w:val="32"/>
          <w:szCs w:val="32"/>
          <w:u w:val="none"/>
          <w:lang w:val="en-US" w:eastAsia="zh-CN"/>
        </w:rPr>
        <w:t>0</w:t>
      </w:r>
      <w:r>
        <w:rPr>
          <w:rFonts w:hint="eastAsia" w:ascii="仿宋_GB2312" w:hAnsi="Calibri" w:eastAsia="仿宋_GB2312" w:cs="Times New Roman"/>
          <w:b w:val="0"/>
          <w:bCs w:val="0"/>
          <w:color w:val="auto"/>
          <w:sz w:val="32"/>
          <w:szCs w:val="32"/>
          <w:u w:val="none"/>
        </w:rPr>
        <w:t>所公办普通高中</w:t>
      </w:r>
      <w:r>
        <w:rPr>
          <w:rStyle w:val="13"/>
          <w:rFonts w:hint="eastAsia" w:ascii="仿宋_GB2312" w:hAnsi="Calibri" w:eastAsia="仿宋_GB2312" w:cs="Times New Roman"/>
          <w:b w:val="0"/>
          <w:bCs w:val="0"/>
          <w:color w:val="auto"/>
          <w:sz w:val="32"/>
          <w:szCs w:val="32"/>
          <w:u w:val="none"/>
        </w:rPr>
        <w:footnoteReference w:id="1"/>
      </w:r>
      <w:r>
        <w:rPr>
          <w:rFonts w:hint="eastAsia" w:ascii="仿宋_GB2312" w:hAnsi="Calibri" w:eastAsia="仿宋_GB2312" w:cs="Times New Roman"/>
          <w:b w:val="0"/>
          <w:bCs w:val="0"/>
          <w:color w:val="auto"/>
          <w:sz w:val="32"/>
          <w:szCs w:val="32"/>
          <w:u w:val="none"/>
          <w:lang w:val="en-US" w:eastAsia="zh-CN"/>
        </w:rPr>
        <w:t>可</w:t>
      </w:r>
      <w:r>
        <w:rPr>
          <w:rFonts w:hint="eastAsia" w:ascii="仿宋_GB2312" w:hAnsi="Calibri" w:eastAsia="仿宋_GB2312" w:cs="Times New Roman"/>
          <w:b w:val="0"/>
          <w:bCs w:val="0"/>
          <w:color w:val="auto"/>
          <w:sz w:val="32"/>
          <w:szCs w:val="32"/>
          <w:u w:val="none"/>
          <w:lang w:eastAsia="zh-CN"/>
        </w:rPr>
        <w:t>安排</w:t>
      </w:r>
      <w:r>
        <w:rPr>
          <w:rFonts w:hint="eastAsia" w:ascii="仿宋_GB2312" w:hAnsi="Calibri" w:eastAsia="仿宋_GB2312" w:cs="Times New Roman"/>
          <w:b w:val="0"/>
          <w:bCs w:val="0"/>
          <w:color w:val="auto"/>
          <w:sz w:val="32"/>
          <w:szCs w:val="32"/>
          <w:u w:val="none"/>
          <w:lang w:val="en-US" w:eastAsia="zh-CN"/>
        </w:rPr>
        <w:t>一定比例</w:t>
      </w:r>
      <w:r>
        <w:rPr>
          <w:rFonts w:hint="eastAsia" w:ascii="仿宋_GB2312" w:hAnsi="Calibri" w:eastAsia="仿宋_GB2312" w:cs="Times New Roman"/>
          <w:b w:val="0"/>
          <w:bCs w:val="0"/>
          <w:color w:val="auto"/>
          <w:sz w:val="32"/>
          <w:szCs w:val="32"/>
          <w:u w:val="none"/>
        </w:rPr>
        <w:t>的普通生招生计划在第一批面向全市招生</w:t>
      </w:r>
      <w:r>
        <w:rPr>
          <w:rFonts w:hint="eastAsia" w:ascii="仿宋_GB2312" w:hAnsi="Calibri" w:eastAsia="仿宋_GB2312" w:cs="Times New Roman"/>
          <w:b w:val="0"/>
          <w:bCs w:val="0"/>
          <w:color w:val="auto"/>
          <w:sz w:val="32"/>
          <w:szCs w:val="32"/>
          <w:u w:val="none"/>
          <w:lang w:eastAsia="zh-CN"/>
        </w:rPr>
        <w:t>，具体招生计划由各区申请，报市教育局审批</w:t>
      </w:r>
      <w:r>
        <w:rPr>
          <w:rFonts w:hint="eastAsia" w:ascii="仿宋_GB2312" w:hAnsi="Calibri" w:eastAsia="仿宋_GB2312" w:cs="Times New Roman"/>
          <w:b w:val="0"/>
          <w:bCs w:val="0"/>
          <w:color w:val="auto"/>
          <w:sz w:val="32"/>
          <w:szCs w:val="32"/>
          <w:u w:val="none"/>
        </w:rPr>
        <w:t>。</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2</w:t>
      </w:r>
      <w:r>
        <w:rPr>
          <w:rFonts w:hint="eastAsia" w:ascii="仿宋_GB2312" w:hAnsi="Calibri" w:eastAsia="仿宋_GB2312" w:cs="Times New Roman"/>
          <w:b w:val="0"/>
          <w:bCs w:val="0"/>
          <w:color w:val="auto"/>
          <w:sz w:val="32"/>
          <w:szCs w:val="32"/>
          <w:u w:val="none"/>
          <w:lang w:val="en-US" w:eastAsia="zh-CN"/>
        </w:rPr>
        <w:t>.</w:t>
      </w:r>
      <w:r>
        <w:rPr>
          <w:rFonts w:hint="eastAsia" w:ascii="仿宋_GB2312" w:hAnsi="Calibri" w:eastAsia="仿宋_GB2312" w:cs="Times New Roman"/>
          <w:b w:val="0"/>
          <w:bCs w:val="0"/>
          <w:color w:val="auto"/>
          <w:sz w:val="32"/>
          <w:szCs w:val="32"/>
          <w:u w:val="none"/>
        </w:rPr>
        <w:t>民办普通高中。</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经</w:t>
      </w:r>
      <w:r>
        <w:rPr>
          <w:rFonts w:hint="eastAsia" w:ascii="仿宋_GB2312" w:hAnsi="Calibri" w:eastAsia="仿宋_GB2312" w:cs="Times New Roman"/>
          <w:b w:val="0"/>
          <w:bCs w:val="0"/>
          <w:color w:val="auto"/>
          <w:sz w:val="32"/>
          <w:szCs w:val="32"/>
          <w:u w:val="none"/>
        </w:rPr>
        <w:t>市教育局核准的民办普通高中公费生计划</w:t>
      </w:r>
      <w:r>
        <w:rPr>
          <w:rFonts w:hint="eastAsia" w:ascii="仿宋_GB2312" w:hAnsi="Calibri" w:eastAsia="仿宋_GB2312" w:cs="Times New Roman"/>
          <w:b w:val="0"/>
          <w:bCs w:val="0"/>
          <w:color w:val="auto"/>
          <w:sz w:val="32"/>
          <w:szCs w:val="32"/>
          <w:u w:val="none"/>
          <w:lang w:eastAsia="zh-CN"/>
        </w:rPr>
        <w:t>，安排在第一批</w:t>
      </w:r>
      <w:r>
        <w:rPr>
          <w:rFonts w:hint="eastAsia" w:ascii="仿宋_GB2312" w:hAnsi="Calibri" w:eastAsia="仿宋_GB2312" w:cs="Times New Roman"/>
          <w:b w:val="0"/>
          <w:bCs w:val="0"/>
          <w:color w:val="auto"/>
          <w:sz w:val="32"/>
          <w:szCs w:val="32"/>
          <w:u w:val="none"/>
        </w:rPr>
        <w:t>面向全市招生</w:t>
      </w:r>
      <w:r>
        <w:rPr>
          <w:rFonts w:hint="eastAsia" w:ascii="仿宋_GB2312" w:hAnsi="Calibri" w:eastAsia="仿宋_GB2312" w:cs="Times New Roman"/>
          <w:b w:val="0"/>
          <w:bCs w:val="0"/>
          <w:color w:val="auto"/>
          <w:sz w:val="32"/>
          <w:szCs w:val="32"/>
          <w:u w:val="none"/>
          <w:lang w:eastAsia="zh-CN"/>
        </w:rPr>
        <w:t>。</w:t>
      </w:r>
    </w:p>
    <w:p>
      <w:pPr>
        <w:spacing w:line="560" w:lineRule="exact"/>
        <w:ind w:firstLine="640" w:firstLineChars="200"/>
        <w:rPr>
          <w:rFonts w:hint="eastAsia" w:ascii="楷体_GB2312" w:hAnsi="Calibri" w:eastAsia="楷体_GB2312" w:cs="Times New Roman"/>
          <w:b w:val="0"/>
          <w:bCs w:val="0"/>
          <w:color w:val="auto"/>
          <w:sz w:val="32"/>
          <w:szCs w:val="32"/>
          <w:u w:val="none"/>
        </w:rPr>
      </w:pPr>
      <w:r>
        <w:rPr>
          <w:rFonts w:hint="eastAsia" w:ascii="楷体_GB2312" w:hAnsi="Calibri" w:eastAsia="楷体_GB2312" w:cs="Times New Roman"/>
          <w:b w:val="0"/>
          <w:bCs w:val="0"/>
          <w:color w:val="auto"/>
          <w:sz w:val="32"/>
          <w:szCs w:val="32"/>
          <w:u w:val="none"/>
        </w:rPr>
        <w:t>（</w:t>
      </w:r>
      <w:r>
        <w:rPr>
          <w:rFonts w:hint="eastAsia" w:ascii="楷体_GB2312" w:hAnsi="Calibri" w:eastAsia="楷体_GB2312" w:cs="Times New Roman"/>
          <w:b w:val="0"/>
          <w:bCs w:val="0"/>
          <w:color w:val="auto"/>
          <w:sz w:val="32"/>
          <w:szCs w:val="32"/>
          <w:u w:val="none"/>
          <w:lang w:eastAsia="zh-CN"/>
        </w:rPr>
        <w:t>二</w:t>
      </w:r>
      <w:r>
        <w:rPr>
          <w:rFonts w:hint="eastAsia" w:ascii="楷体_GB2312" w:hAnsi="Calibri" w:eastAsia="楷体_GB2312" w:cs="Times New Roman"/>
          <w:b w:val="0"/>
          <w:bCs w:val="0"/>
          <w:color w:val="auto"/>
          <w:sz w:val="32"/>
          <w:szCs w:val="32"/>
          <w:u w:val="none"/>
        </w:rPr>
        <w:t>）面向</w:t>
      </w:r>
      <w:r>
        <w:rPr>
          <w:rFonts w:hint="eastAsia" w:ascii="楷体_GB2312" w:hAnsi="Calibri" w:eastAsia="楷体_GB2312" w:cs="Times New Roman"/>
          <w:b w:val="0"/>
          <w:bCs w:val="0"/>
          <w:color w:val="auto"/>
          <w:sz w:val="32"/>
          <w:szCs w:val="32"/>
          <w:u w:val="none"/>
          <w:lang w:eastAsia="zh-CN"/>
        </w:rPr>
        <w:t>区内</w:t>
      </w:r>
      <w:r>
        <w:rPr>
          <w:rFonts w:hint="eastAsia" w:ascii="楷体_GB2312" w:hAnsi="Calibri" w:eastAsia="楷体_GB2312" w:cs="Times New Roman"/>
          <w:b w:val="0"/>
          <w:bCs w:val="0"/>
          <w:color w:val="auto"/>
          <w:sz w:val="32"/>
          <w:szCs w:val="32"/>
          <w:u w:val="none"/>
        </w:rPr>
        <w:t>招生</w:t>
      </w:r>
      <w:r>
        <w:rPr>
          <w:rFonts w:hint="eastAsia" w:ascii="楷体_GB2312" w:hAnsi="Calibri" w:eastAsia="楷体_GB2312" w:cs="Times New Roman"/>
          <w:b w:val="0"/>
          <w:bCs w:val="0"/>
          <w:color w:val="auto"/>
          <w:sz w:val="32"/>
          <w:szCs w:val="32"/>
          <w:u w:val="none"/>
          <w:lang w:eastAsia="zh-CN"/>
        </w:rPr>
        <w:t>的</w:t>
      </w:r>
      <w:r>
        <w:rPr>
          <w:rFonts w:hint="eastAsia" w:ascii="楷体_GB2312" w:hAnsi="Calibri" w:eastAsia="楷体_GB2312" w:cs="Times New Roman"/>
          <w:b w:val="0"/>
          <w:bCs w:val="0"/>
          <w:color w:val="auto"/>
          <w:sz w:val="32"/>
          <w:szCs w:val="32"/>
          <w:u w:val="none"/>
        </w:rPr>
        <w:t>普通高中学校。</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val="en-US" w:eastAsia="zh-CN"/>
        </w:rPr>
        <w:t>各区公民办普通高中招生计划由区教育局根据实际统筹安排，报市教育局批准后由各区组织实施，除按规定面向全市招生的计划外，其余计划面向区内招生。</w:t>
      </w:r>
      <w:r>
        <w:rPr>
          <w:rFonts w:hint="eastAsia" w:ascii="仿宋_GB2312" w:hAnsi="Calibri" w:eastAsia="仿宋_GB2312" w:cs="Times New Roman"/>
          <w:b w:val="0"/>
          <w:bCs w:val="0"/>
          <w:color w:val="auto"/>
          <w:sz w:val="32"/>
          <w:szCs w:val="32"/>
          <w:u w:val="none"/>
        </w:rPr>
        <w:t>各区教育局要安排</w:t>
      </w:r>
      <w:r>
        <w:rPr>
          <w:rFonts w:hint="eastAsia" w:ascii="仿宋_GB2312" w:hAnsi="Calibri" w:eastAsia="仿宋_GB2312" w:cs="Times New Roman"/>
          <w:b w:val="0"/>
          <w:bCs w:val="0"/>
          <w:color w:val="auto"/>
          <w:sz w:val="32"/>
          <w:szCs w:val="32"/>
          <w:u w:val="none"/>
          <w:lang w:eastAsia="zh-CN"/>
        </w:rPr>
        <w:t>区内优质公办</w:t>
      </w:r>
      <w:r>
        <w:rPr>
          <w:rFonts w:hint="eastAsia" w:ascii="仿宋_GB2312" w:hAnsi="Calibri" w:eastAsia="仿宋_GB2312" w:cs="Times New Roman"/>
          <w:b w:val="0"/>
          <w:bCs w:val="0"/>
          <w:color w:val="auto"/>
          <w:sz w:val="32"/>
          <w:szCs w:val="32"/>
          <w:u w:val="none"/>
        </w:rPr>
        <w:t>普通高中学校</w:t>
      </w:r>
      <w:r>
        <w:rPr>
          <w:rFonts w:hint="eastAsia" w:ascii="仿宋_GB2312" w:hAnsi="Calibri" w:eastAsia="仿宋_GB2312" w:cs="Times New Roman"/>
          <w:b w:val="0"/>
          <w:bCs w:val="0"/>
          <w:color w:val="auto"/>
          <w:sz w:val="32"/>
          <w:szCs w:val="32"/>
          <w:u w:val="none"/>
          <w:lang w:val="en-US" w:eastAsia="zh-CN"/>
        </w:rPr>
        <w:t>不低于</w:t>
      </w:r>
      <w:r>
        <w:rPr>
          <w:rFonts w:hint="eastAsia" w:ascii="仿宋_GB2312" w:hAnsi="Calibri" w:eastAsia="仿宋_GB2312" w:cs="Times New Roman"/>
          <w:b w:val="0"/>
          <w:bCs w:val="0"/>
          <w:color w:val="auto"/>
          <w:sz w:val="32"/>
          <w:szCs w:val="32"/>
          <w:u w:val="none"/>
          <w:lang w:eastAsia="zh-CN"/>
        </w:rPr>
        <w:t>总计划的</w:t>
      </w:r>
      <w:r>
        <w:rPr>
          <w:rFonts w:hint="eastAsia" w:ascii="仿宋_GB2312" w:hAnsi="Calibri" w:eastAsia="仿宋_GB2312" w:cs="Times New Roman"/>
          <w:b w:val="0"/>
          <w:bCs w:val="0"/>
          <w:color w:val="auto"/>
          <w:sz w:val="32"/>
          <w:szCs w:val="32"/>
          <w:u w:val="none"/>
        </w:rPr>
        <w:t>50%</w:t>
      </w:r>
      <w:r>
        <w:rPr>
          <w:rFonts w:hint="eastAsia" w:ascii="仿宋_GB2312" w:hAnsi="Calibri" w:eastAsia="仿宋_GB2312" w:cs="Times New Roman"/>
          <w:b w:val="0"/>
          <w:bCs w:val="0"/>
          <w:color w:val="auto"/>
          <w:sz w:val="32"/>
          <w:szCs w:val="32"/>
          <w:u w:val="none"/>
          <w:lang w:eastAsia="zh-CN"/>
        </w:rPr>
        <w:t>作为名额分配（指标生）计划面向区内招生。</w:t>
      </w:r>
    </w:p>
    <w:p>
      <w:pPr>
        <w:spacing w:line="560" w:lineRule="exact"/>
        <w:ind w:firstLine="640" w:firstLineChars="200"/>
        <w:rPr>
          <w:rFonts w:hint="eastAsia" w:ascii="楷体_GB2312" w:hAnsi="Calibri" w:eastAsia="楷体_GB2312" w:cs="Times New Roman"/>
          <w:b w:val="0"/>
          <w:bCs w:val="0"/>
          <w:color w:val="auto"/>
          <w:sz w:val="32"/>
          <w:szCs w:val="32"/>
          <w:u w:val="none"/>
        </w:rPr>
      </w:pPr>
      <w:r>
        <w:rPr>
          <w:rFonts w:hint="eastAsia" w:ascii="楷体_GB2312" w:hAnsi="Calibri" w:eastAsia="楷体_GB2312" w:cs="Times New Roman"/>
          <w:b w:val="0"/>
          <w:bCs w:val="0"/>
          <w:color w:val="auto"/>
          <w:sz w:val="32"/>
          <w:szCs w:val="32"/>
          <w:u w:val="none"/>
        </w:rPr>
        <w:t>（三）普通高中补录计划。</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在第二批结束后，根据公民办普通高中招生计划剩余情况，在其核定公布的总招生计划内确定补录计划（计划未完成作废的除外）。市招生办划定录取最低控制分数线并公布计划，经批准补录的公民办高中在规定时间内通过佛山市中考信息管理系统，面向尚未被录取的考生统一征集志愿。</w:t>
      </w:r>
    </w:p>
    <w:p>
      <w:pPr>
        <w:spacing w:line="560" w:lineRule="exact"/>
        <w:ind w:firstLine="640" w:firstLineChars="200"/>
        <w:rPr>
          <w:rFonts w:hint="eastAsia" w:ascii="楷体_GB2312" w:hAnsi="Calibri" w:eastAsia="楷体_GB2312" w:cs="Times New Roman"/>
          <w:b w:val="0"/>
          <w:bCs w:val="0"/>
          <w:color w:val="auto"/>
          <w:sz w:val="32"/>
          <w:szCs w:val="32"/>
          <w:u w:val="none"/>
        </w:rPr>
      </w:pPr>
      <w:r>
        <w:rPr>
          <w:rFonts w:hint="eastAsia" w:ascii="楷体_GB2312" w:hAnsi="Calibri" w:eastAsia="楷体_GB2312" w:cs="Times New Roman"/>
          <w:b w:val="0"/>
          <w:bCs w:val="0"/>
          <w:color w:val="auto"/>
          <w:sz w:val="32"/>
          <w:szCs w:val="32"/>
          <w:u w:val="none"/>
        </w:rPr>
        <w:t>（</w:t>
      </w:r>
      <w:r>
        <w:rPr>
          <w:rFonts w:hint="eastAsia" w:ascii="楷体_GB2312" w:hAnsi="Calibri" w:eastAsia="楷体_GB2312" w:cs="Times New Roman"/>
          <w:b w:val="0"/>
          <w:bCs w:val="0"/>
          <w:color w:val="auto"/>
          <w:sz w:val="32"/>
          <w:szCs w:val="32"/>
          <w:u w:val="none"/>
          <w:lang w:eastAsia="zh-CN"/>
        </w:rPr>
        <w:t>四</w:t>
      </w:r>
      <w:r>
        <w:rPr>
          <w:rFonts w:hint="eastAsia" w:ascii="楷体_GB2312" w:hAnsi="Calibri" w:eastAsia="楷体_GB2312" w:cs="Times New Roman"/>
          <w:b w:val="0"/>
          <w:bCs w:val="0"/>
          <w:color w:val="auto"/>
          <w:sz w:val="32"/>
          <w:szCs w:val="32"/>
          <w:u w:val="none"/>
        </w:rPr>
        <w:t>）面向全市招生</w:t>
      </w:r>
      <w:r>
        <w:rPr>
          <w:rFonts w:hint="eastAsia" w:ascii="楷体_GB2312" w:hAnsi="Calibri" w:eastAsia="楷体_GB2312" w:cs="Times New Roman"/>
          <w:b w:val="0"/>
          <w:bCs w:val="0"/>
          <w:color w:val="auto"/>
          <w:sz w:val="32"/>
          <w:szCs w:val="32"/>
          <w:u w:val="none"/>
          <w:lang w:eastAsia="zh-CN"/>
        </w:rPr>
        <w:t>的</w:t>
      </w:r>
      <w:r>
        <w:rPr>
          <w:rFonts w:hint="eastAsia" w:ascii="楷体_GB2312" w:hAnsi="Calibri" w:eastAsia="楷体_GB2312" w:cs="Times New Roman"/>
          <w:b w:val="0"/>
          <w:bCs w:val="0"/>
          <w:color w:val="auto"/>
          <w:sz w:val="32"/>
          <w:szCs w:val="32"/>
          <w:u w:val="none"/>
        </w:rPr>
        <w:t>中等职业学校。</w:t>
      </w:r>
    </w:p>
    <w:p>
      <w:pPr>
        <w:spacing w:line="560" w:lineRule="exact"/>
        <w:ind w:firstLine="640" w:firstLineChars="200"/>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1.中等职业学校对接本科高等院校贯通培养试点班（“3+4”模式），安排在提前批面向全市招生，保障生源质量。</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rPr>
        <w:t>进一步扩大中职学校优质学位面向全市招生规模，鼓励各区将更多中职学校计划</w:t>
      </w:r>
      <w:r>
        <w:rPr>
          <w:rFonts w:hint="eastAsia" w:ascii="仿宋_GB2312" w:hAnsi="Calibri" w:eastAsia="仿宋_GB2312" w:cs="Times New Roman"/>
          <w:b w:val="0"/>
          <w:bCs w:val="0"/>
          <w:color w:val="auto"/>
          <w:sz w:val="32"/>
          <w:szCs w:val="32"/>
          <w:u w:val="none"/>
          <w:lang w:eastAsia="zh-CN"/>
        </w:rPr>
        <w:t>安排在第三批</w:t>
      </w:r>
      <w:r>
        <w:rPr>
          <w:rFonts w:hint="eastAsia" w:ascii="仿宋_GB2312" w:hAnsi="Calibri" w:eastAsia="仿宋_GB2312" w:cs="Times New Roman"/>
          <w:b w:val="0"/>
          <w:bCs w:val="0"/>
          <w:color w:val="auto"/>
          <w:sz w:val="32"/>
          <w:szCs w:val="32"/>
          <w:u w:val="none"/>
        </w:rPr>
        <w:t>面向全市招生。</w:t>
      </w:r>
      <w:r>
        <w:rPr>
          <w:rFonts w:hint="eastAsia" w:ascii="仿宋_GB2312" w:hAnsi="Calibri" w:eastAsia="仿宋_GB2312" w:cs="Times New Roman"/>
          <w:b w:val="0"/>
          <w:bCs w:val="0"/>
          <w:color w:val="auto"/>
          <w:sz w:val="32"/>
          <w:szCs w:val="32"/>
          <w:u w:val="none"/>
          <w:lang w:eastAsia="zh-CN"/>
        </w:rPr>
        <w:t>其中：</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1</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经省教育厅批准的“中高职贯通分段培养”面向全市招生。</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各区中等职业学校（含技工学校）面向全市招生，其中省市“双精准”立项建设专业、省重点专业、中职特色专业（园林技术、珠宝玉石加工与营销、会展服务与管理、护理、学前教育、中餐烹饪与营养膳食等）、现代学徒制试点招生计划原则上全部招生计划面向全市招生，如确有特殊原因，经区教育局申报，市教育局同意，可按综合不少于50%比例确定相关专业面向全市招生。现代学徒制试点专业以市教育局公布的该年度现代学徒制试点专业名单为准。省重点及以上中职学校和市属技工学校经主管</w:t>
      </w:r>
      <w:r>
        <w:rPr>
          <w:rFonts w:hint="eastAsia" w:ascii="仿宋_GB2312" w:hAnsi="Calibri" w:eastAsia="仿宋_GB2312" w:cs="Times New Roman"/>
          <w:b w:val="0"/>
          <w:bCs w:val="0"/>
          <w:color w:val="auto"/>
          <w:sz w:val="32"/>
          <w:szCs w:val="32"/>
          <w:u w:val="none"/>
          <w:lang w:eastAsia="zh-CN"/>
        </w:rPr>
        <w:t>部门</w:t>
      </w:r>
      <w:r>
        <w:rPr>
          <w:rFonts w:hint="eastAsia" w:ascii="仿宋_GB2312" w:hAnsi="Calibri" w:eastAsia="仿宋_GB2312" w:cs="Times New Roman"/>
          <w:b w:val="0"/>
          <w:bCs w:val="0"/>
          <w:color w:val="auto"/>
          <w:sz w:val="32"/>
          <w:szCs w:val="32"/>
          <w:u w:val="none"/>
        </w:rPr>
        <w:t>同意，可自愿申请对接产业需求紧缺专业面向全市招生。</w:t>
      </w:r>
    </w:p>
    <w:p>
      <w:pPr>
        <w:spacing w:line="560" w:lineRule="exact"/>
        <w:ind w:firstLine="640" w:firstLineChars="200"/>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（3）部省属及外地在我市招生的中等职业学校（含技工学校）在第三批面向全市招生。</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3.</w:t>
      </w:r>
      <w:r>
        <w:rPr>
          <w:rFonts w:hint="eastAsia" w:ascii="仿宋_GB2312" w:hAnsi="Calibri" w:eastAsia="仿宋_GB2312" w:cs="Times New Roman"/>
          <w:b w:val="0"/>
          <w:bCs w:val="0"/>
          <w:color w:val="auto"/>
          <w:sz w:val="32"/>
          <w:szCs w:val="32"/>
          <w:u w:val="none"/>
        </w:rPr>
        <w:t>佛山市体育运动学校</w:t>
      </w:r>
      <w:r>
        <w:rPr>
          <w:rFonts w:hint="eastAsia" w:ascii="仿宋_GB2312" w:hAnsi="Calibri" w:eastAsia="仿宋_GB2312" w:cs="Times New Roman"/>
          <w:b w:val="0"/>
          <w:bCs w:val="0"/>
          <w:color w:val="auto"/>
          <w:sz w:val="32"/>
          <w:szCs w:val="32"/>
          <w:u w:val="none"/>
          <w:lang w:eastAsia="zh-CN"/>
        </w:rPr>
        <w:t>（中职班）在提前批</w:t>
      </w:r>
      <w:r>
        <w:rPr>
          <w:rFonts w:hint="eastAsia" w:ascii="仿宋_GB2312" w:hAnsi="Calibri" w:eastAsia="仿宋_GB2312" w:cs="Times New Roman"/>
          <w:b w:val="0"/>
          <w:bCs w:val="0"/>
          <w:color w:val="auto"/>
          <w:sz w:val="32"/>
          <w:szCs w:val="32"/>
          <w:u w:val="none"/>
        </w:rPr>
        <w:t>面向全市招生。</w:t>
      </w:r>
    </w:p>
    <w:p>
      <w:pPr>
        <w:spacing w:line="560" w:lineRule="exact"/>
        <w:ind w:firstLine="640" w:firstLineChars="200"/>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4</w:t>
      </w:r>
      <w:r>
        <w:rPr>
          <w:rFonts w:hint="default" w:ascii="仿宋_GB2312" w:hAnsi="Calibri" w:eastAsia="仿宋_GB2312" w:cs="Times New Roman"/>
          <w:b w:val="0"/>
          <w:bCs w:val="0"/>
          <w:color w:val="auto"/>
          <w:sz w:val="32"/>
          <w:szCs w:val="32"/>
          <w:u w:val="none"/>
          <w:lang w:val="en-US" w:eastAsia="zh-CN"/>
        </w:rPr>
        <w:t>.佛山市启聪学校职业高中班招生方案由学校制定，报市教育局批准后由学校</w:t>
      </w:r>
      <w:r>
        <w:rPr>
          <w:rFonts w:hint="eastAsia" w:ascii="仿宋_GB2312" w:hAnsi="Calibri" w:eastAsia="仿宋_GB2312" w:cs="Times New Roman"/>
          <w:b w:val="0"/>
          <w:bCs w:val="0"/>
          <w:color w:val="auto"/>
          <w:sz w:val="32"/>
          <w:szCs w:val="32"/>
          <w:u w:val="none"/>
          <w:lang w:val="en-US" w:eastAsia="zh-CN"/>
        </w:rPr>
        <w:t>自行</w:t>
      </w:r>
      <w:r>
        <w:rPr>
          <w:rFonts w:hint="default" w:ascii="仿宋_GB2312" w:hAnsi="Calibri" w:eastAsia="仿宋_GB2312" w:cs="Times New Roman"/>
          <w:b w:val="0"/>
          <w:bCs w:val="0"/>
          <w:color w:val="auto"/>
          <w:sz w:val="32"/>
          <w:szCs w:val="32"/>
          <w:u w:val="none"/>
          <w:lang w:val="en-US" w:eastAsia="zh-CN"/>
        </w:rPr>
        <w:t>组织实施。</w:t>
      </w:r>
    </w:p>
    <w:p>
      <w:pPr>
        <w:spacing w:line="560" w:lineRule="exact"/>
        <w:ind w:firstLine="640" w:firstLineChars="200"/>
        <w:rPr>
          <w:rFonts w:hint="eastAsia" w:ascii="楷体_GB2312" w:hAnsi="Calibri" w:eastAsia="楷体_GB2312" w:cs="Times New Roman"/>
          <w:b w:val="0"/>
          <w:bCs w:val="0"/>
          <w:color w:val="auto"/>
          <w:sz w:val="32"/>
          <w:szCs w:val="32"/>
          <w:u w:val="none"/>
        </w:rPr>
      </w:pPr>
      <w:r>
        <w:rPr>
          <w:rFonts w:hint="eastAsia" w:ascii="楷体_GB2312" w:hAnsi="Calibri" w:eastAsia="楷体_GB2312" w:cs="Times New Roman"/>
          <w:b w:val="0"/>
          <w:bCs w:val="0"/>
          <w:color w:val="auto"/>
          <w:sz w:val="32"/>
          <w:szCs w:val="32"/>
          <w:u w:val="none"/>
        </w:rPr>
        <w:t>（</w:t>
      </w:r>
      <w:r>
        <w:rPr>
          <w:rFonts w:hint="eastAsia" w:ascii="楷体_GB2312" w:hAnsi="Calibri" w:eastAsia="楷体_GB2312" w:cs="Times New Roman"/>
          <w:b w:val="0"/>
          <w:bCs w:val="0"/>
          <w:color w:val="auto"/>
          <w:sz w:val="32"/>
          <w:szCs w:val="32"/>
          <w:u w:val="none"/>
          <w:lang w:eastAsia="zh-CN"/>
        </w:rPr>
        <w:t>五</w:t>
      </w:r>
      <w:r>
        <w:rPr>
          <w:rFonts w:hint="eastAsia" w:ascii="楷体_GB2312" w:hAnsi="Calibri" w:eastAsia="楷体_GB2312" w:cs="Times New Roman"/>
          <w:b w:val="0"/>
          <w:bCs w:val="0"/>
          <w:color w:val="auto"/>
          <w:sz w:val="32"/>
          <w:szCs w:val="32"/>
          <w:u w:val="none"/>
        </w:rPr>
        <w:t>）面向</w:t>
      </w:r>
      <w:r>
        <w:rPr>
          <w:rFonts w:hint="eastAsia" w:ascii="楷体_GB2312" w:hAnsi="Calibri" w:eastAsia="楷体_GB2312" w:cs="Times New Roman"/>
          <w:b w:val="0"/>
          <w:bCs w:val="0"/>
          <w:color w:val="auto"/>
          <w:sz w:val="32"/>
          <w:szCs w:val="32"/>
          <w:u w:val="none"/>
          <w:lang w:eastAsia="zh-CN"/>
        </w:rPr>
        <w:t>区内</w:t>
      </w:r>
      <w:r>
        <w:rPr>
          <w:rFonts w:hint="eastAsia" w:ascii="楷体_GB2312" w:hAnsi="Calibri" w:eastAsia="楷体_GB2312" w:cs="Times New Roman"/>
          <w:b w:val="0"/>
          <w:bCs w:val="0"/>
          <w:color w:val="auto"/>
          <w:sz w:val="32"/>
          <w:szCs w:val="32"/>
          <w:u w:val="none"/>
        </w:rPr>
        <w:t>招生</w:t>
      </w:r>
      <w:r>
        <w:rPr>
          <w:rFonts w:hint="eastAsia" w:ascii="楷体_GB2312" w:hAnsi="Calibri" w:eastAsia="楷体_GB2312" w:cs="Times New Roman"/>
          <w:b w:val="0"/>
          <w:bCs w:val="0"/>
          <w:color w:val="auto"/>
          <w:sz w:val="32"/>
          <w:szCs w:val="32"/>
          <w:u w:val="none"/>
          <w:lang w:eastAsia="zh-CN"/>
        </w:rPr>
        <w:t>的</w:t>
      </w:r>
      <w:r>
        <w:rPr>
          <w:rFonts w:hint="eastAsia" w:ascii="楷体_GB2312" w:hAnsi="Calibri" w:eastAsia="楷体_GB2312" w:cs="Times New Roman"/>
          <w:b w:val="0"/>
          <w:bCs w:val="0"/>
          <w:color w:val="auto"/>
          <w:sz w:val="32"/>
          <w:szCs w:val="32"/>
          <w:u w:val="none"/>
        </w:rPr>
        <w:t>中等职业学校。</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各区根据实际需要，可适当保留部分中职学校招生计划，安排在第三批面向区内招生。鼓励各区探索职普融通试点，试行</w:t>
      </w:r>
      <w:r>
        <w:rPr>
          <w:rFonts w:hint="eastAsia" w:ascii="仿宋_GB2312" w:hAnsi="Calibri" w:eastAsia="仿宋_GB2312" w:cs="Times New Roman"/>
          <w:b w:val="0"/>
          <w:bCs w:val="0"/>
          <w:color w:val="auto"/>
          <w:sz w:val="32"/>
          <w:szCs w:val="32"/>
          <w:u w:val="none"/>
          <w:lang w:val="en-US" w:eastAsia="zh-CN"/>
        </w:rPr>
        <w:t>中职学校和普通高中</w:t>
      </w:r>
      <w:r>
        <w:rPr>
          <w:rFonts w:hint="eastAsia" w:ascii="仿宋_GB2312" w:hAnsi="Calibri" w:eastAsia="仿宋_GB2312" w:cs="Times New Roman"/>
          <w:b w:val="0"/>
          <w:bCs w:val="0"/>
          <w:color w:val="auto"/>
          <w:sz w:val="32"/>
          <w:szCs w:val="32"/>
          <w:u w:val="none"/>
          <w:lang w:eastAsia="zh-CN"/>
        </w:rPr>
        <w:t>同批次并行招生。</w:t>
      </w:r>
    </w:p>
    <w:p>
      <w:pPr>
        <w:spacing w:line="560" w:lineRule="exact"/>
        <w:ind w:firstLine="640" w:firstLineChars="200"/>
        <w:rPr>
          <w:rFonts w:hint="eastAsia" w:ascii="黑体" w:hAnsi="Calibri" w:eastAsia="黑体" w:cs="Times New Roman"/>
          <w:b w:val="0"/>
          <w:bCs w:val="0"/>
          <w:color w:val="auto"/>
          <w:sz w:val="32"/>
          <w:szCs w:val="32"/>
          <w:u w:val="none"/>
        </w:rPr>
      </w:pPr>
      <w:r>
        <w:rPr>
          <w:rFonts w:hint="eastAsia" w:ascii="黑体" w:hAnsi="Calibri" w:eastAsia="黑体" w:cs="Times New Roman"/>
          <w:b w:val="0"/>
          <w:bCs w:val="0"/>
          <w:color w:val="auto"/>
          <w:sz w:val="32"/>
          <w:szCs w:val="32"/>
          <w:u w:val="none"/>
          <w:lang w:eastAsia="zh-CN"/>
        </w:rPr>
        <w:t>三</w:t>
      </w:r>
      <w:r>
        <w:rPr>
          <w:rFonts w:hint="eastAsia" w:ascii="黑体" w:hAnsi="Calibri" w:eastAsia="黑体" w:cs="Times New Roman"/>
          <w:b w:val="0"/>
          <w:bCs w:val="0"/>
          <w:color w:val="auto"/>
          <w:sz w:val="32"/>
          <w:szCs w:val="32"/>
          <w:u w:val="none"/>
        </w:rPr>
        <w:t>、</w:t>
      </w:r>
      <w:r>
        <w:rPr>
          <w:rFonts w:hint="eastAsia" w:ascii="黑体" w:hAnsi="Calibri" w:eastAsia="黑体" w:cs="Times New Roman"/>
          <w:b w:val="0"/>
          <w:bCs w:val="0"/>
          <w:color w:val="auto"/>
          <w:sz w:val="32"/>
          <w:szCs w:val="32"/>
          <w:u w:val="none"/>
          <w:lang w:val="en-US" w:eastAsia="zh-CN"/>
        </w:rPr>
        <w:t>投档</w:t>
      </w:r>
      <w:r>
        <w:rPr>
          <w:rFonts w:hint="eastAsia" w:ascii="黑体" w:hAnsi="Calibri" w:eastAsia="黑体" w:cs="Times New Roman"/>
          <w:b w:val="0"/>
          <w:bCs w:val="0"/>
          <w:color w:val="auto"/>
          <w:sz w:val="32"/>
          <w:szCs w:val="32"/>
          <w:u w:val="none"/>
        </w:rPr>
        <w:t>录取办法</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实施基于初中学业水平考试成绩、结合综合素质评价的招生录取模式。</w:t>
      </w:r>
    </w:p>
    <w:p>
      <w:pPr>
        <w:spacing w:line="560" w:lineRule="exact"/>
        <w:ind w:firstLine="640" w:firstLineChars="200"/>
        <w:rPr>
          <w:rFonts w:hint="eastAsia" w:ascii="楷体_GB2312" w:hAnsi="Calibri" w:eastAsia="楷体_GB2312" w:cs="Times New Roman"/>
          <w:b w:val="0"/>
          <w:bCs w:val="0"/>
          <w:color w:val="auto"/>
          <w:sz w:val="32"/>
          <w:szCs w:val="32"/>
          <w:u w:val="none"/>
        </w:rPr>
      </w:pPr>
      <w:r>
        <w:rPr>
          <w:rFonts w:hint="eastAsia" w:ascii="楷体_GB2312" w:hAnsi="Calibri" w:eastAsia="楷体_GB2312" w:cs="Times New Roman"/>
          <w:b w:val="0"/>
          <w:bCs w:val="0"/>
          <w:color w:val="auto"/>
          <w:sz w:val="32"/>
          <w:szCs w:val="32"/>
          <w:u w:val="none"/>
        </w:rPr>
        <w:t>（一）面向全市招生的批次。</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普通高中提前批、第一批、普通高中补录和第三批由市招生办将按照志愿批次层次设置的顺序，逐个批次（层次）投档录取，一个批次内所有层次全部投档录取完毕，该批次才算完成，才能进行下一个批次的录取工作，也即“结清一批，再启动下一批”。</w:t>
      </w:r>
    </w:p>
    <w:p>
      <w:pPr>
        <w:spacing w:line="560" w:lineRule="exact"/>
        <w:ind w:firstLine="640" w:firstLineChars="200"/>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1.</w:t>
      </w:r>
      <w:r>
        <w:rPr>
          <w:rFonts w:hint="eastAsia" w:ascii="仿宋_GB2312" w:eastAsia="仿宋_GB2312" w:cs="Times New Roman"/>
          <w:b w:val="0"/>
          <w:bCs w:val="0"/>
          <w:color w:val="auto"/>
          <w:sz w:val="32"/>
          <w:szCs w:val="32"/>
          <w:u w:val="none"/>
          <w:lang w:val="en-US" w:eastAsia="zh-CN"/>
        </w:rPr>
        <w:t>加强科学教育，提高学生实验能力，</w:t>
      </w:r>
      <w:r>
        <w:rPr>
          <w:rFonts w:hint="eastAsia" w:ascii="仿宋_GB2312" w:hAnsi="Calibri" w:eastAsia="仿宋_GB2312" w:cs="Times New Roman"/>
          <w:b w:val="0"/>
          <w:bCs w:val="0"/>
          <w:color w:val="auto"/>
          <w:sz w:val="32"/>
          <w:szCs w:val="32"/>
          <w:u w:val="none"/>
          <w:lang w:val="en-US" w:eastAsia="zh-CN"/>
        </w:rPr>
        <w:t>理化生实验操作考试成绩与录取挂钩，考生报考市一中等11所学校的各类招生计划，其物理、化学、生物学实验操作考试的成绩必须达到3个“C”等级或以上，其他学校暂不作要求。</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rPr>
        <w:t>.根据招生计划和考生成绩</w:t>
      </w:r>
      <w:r>
        <w:rPr>
          <w:rFonts w:hint="eastAsia" w:ascii="仿宋_GB2312" w:hAnsi="Calibri" w:eastAsia="仿宋_GB2312" w:cs="Times New Roman"/>
          <w:b w:val="0"/>
          <w:bCs w:val="0"/>
          <w:color w:val="auto"/>
          <w:sz w:val="32"/>
          <w:szCs w:val="32"/>
          <w:u w:val="none"/>
          <w:lang w:eastAsia="zh-CN"/>
        </w:rPr>
        <w:t>，科学划定</w:t>
      </w:r>
      <w:r>
        <w:rPr>
          <w:rFonts w:hint="eastAsia" w:ascii="仿宋_GB2312" w:hAnsi="Calibri" w:eastAsia="仿宋_GB2312" w:cs="Times New Roman"/>
          <w:b w:val="0"/>
          <w:bCs w:val="0"/>
          <w:color w:val="auto"/>
          <w:sz w:val="32"/>
          <w:szCs w:val="32"/>
          <w:u w:val="none"/>
        </w:rPr>
        <w:t>市一中</w:t>
      </w:r>
      <w:r>
        <w:rPr>
          <w:rFonts w:hint="eastAsia" w:ascii="仿宋_GB2312" w:hAnsi="Calibri" w:eastAsia="仿宋_GB2312" w:cs="Times New Roman"/>
          <w:b w:val="0"/>
          <w:bCs w:val="0"/>
          <w:color w:val="auto"/>
          <w:sz w:val="32"/>
          <w:szCs w:val="32"/>
          <w:u w:val="none"/>
          <w:lang w:eastAsia="zh-CN"/>
        </w:rPr>
        <w:t>等11所</w:t>
      </w:r>
      <w:r>
        <w:rPr>
          <w:rFonts w:hint="eastAsia" w:ascii="仿宋_GB2312" w:hAnsi="Calibri" w:eastAsia="仿宋_GB2312" w:cs="Times New Roman"/>
          <w:b w:val="0"/>
          <w:bCs w:val="0"/>
          <w:color w:val="auto"/>
          <w:sz w:val="32"/>
          <w:szCs w:val="32"/>
          <w:u w:val="none"/>
        </w:rPr>
        <w:t>学校第一批招生录取最低资格要求</w:t>
      </w:r>
      <w:r>
        <w:rPr>
          <w:rFonts w:hint="eastAsia" w:ascii="仿宋_GB2312" w:hAnsi="Calibri" w:eastAsia="仿宋_GB2312" w:cs="Times New Roman"/>
          <w:b w:val="0"/>
          <w:bCs w:val="0"/>
          <w:color w:val="auto"/>
          <w:sz w:val="32"/>
          <w:szCs w:val="32"/>
          <w:u w:val="none"/>
          <w:lang w:val="en-US" w:eastAsia="zh-CN"/>
        </w:rPr>
        <w:t>和</w:t>
      </w:r>
      <w:r>
        <w:rPr>
          <w:rFonts w:hint="eastAsia" w:ascii="仿宋_GB2312" w:hAnsi="Calibri" w:eastAsia="仿宋_GB2312" w:cs="Times New Roman"/>
          <w:b w:val="0"/>
          <w:bCs w:val="0"/>
          <w:color w:val="auto"/>
          <w:sz w:val="32"/>
          <w:szCs w:val="32"/>
          <w:u w:val="none"/>
        </w:rPr>
        <w:t>普通高中录取最低资格线</w:t>
      </w:r>
      <w:r>
        <w:rPr>
          <w:rFonts w:hint="eastAsia" w:ascii="仿宋_GB2312" w:hAnsi="Calibri" w:eastAsia="仿宋_GB2312" w:cs="Times New Roman"/>
          <w:b w:val="0"/>
          <w:bCs w:val="0"/>
          <w:color w:val="auto"/>
          <w:sz w:val="32"/>
          <w:szCs w:val="32"/>
          <w:u w:val="none"/>
          <w:lang w:eastAsia="zh-CN"/>
        </w:rPr>
        <w:t>。</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3</w:t>
      </w: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eastAsia="zh-CN"/>
        </w:rPr>
        <w:t>在</w:t>
      </w:r>
      <w:r>
        <w:rPr>
          <w:rFonts w:hint="eastAsia" w:ascii="仿宋_GB2312" w:hAnsi="Calibri" w:eastAsia="仿宋_GB2312" w:cs="Times New Roman"/>
          <w:b w:val="0"/>
          <w:bCs w:val="0"/>
          <w:color w:val="auto"/>
          <w:sz w:val="32"/>
          <w:szCs w:val="32"/>
          <w:u w:val="none"/>
        </w:rPr>
        <w:t>普通高中自主招生录取</w:t>
      </w:r>
      <w:r>
        <w:rPr>
          <w:rFonts w:hint="eastAsia" w:ascii="仿宋_GB2312" w:hAnsi="Calibri" w:eastAsia="仿宋_GB2312" w:cs="Times New Roman"/>
          <w:b w:val="0"/>
          <w:bCs w:val="0"/>
          <w:color w:val="auto"/>
          <w:sz w:val="32"/>
          <w:szCs w:val="32"/>
          <w:u w:val="none"/>
          <w:lang w:val="en-US" w:eastAsia="zh-CN"/>
        </w:rPr>
        <w:t>中，</w:t>
      </w:r>
      <w:r>
        <w:rPr>
          <w:rFonts w:hint="eastAsia" w:ascii="仿宋_GB2312" w:hAnsi="Calibri" w:eastAsia="仿宋_GB2312" w:cs="Times New Roman"/>
          <w:b w:val="0"/>
          <w:bCs w:val="0"/>
          <w:color w:val="auto"/>
          <w:sz w:val="32"/>
          <w:szCs w:val="32"/>
          <w:u w:val="none"/>
        </w:rPr>
        <w:t>数理、科技、人文、思政、国防军事等5个类别使用合成总分，由高到低依次录取，合成总分由中考总分占60%，学校综合评价结果占40%的比例构成。体育、艺术类别仍使用学校综合评价结果从高到低录取。自主招生</w:t>
      </w:r>
      <w:r>
        <w:rPr>
          <w:rFonts w:hint="eastAsia" w:ascii="仿宋_GB2312" w:hAnsi="Calibri" w:eastAsia="仿宋_GB2312" w:cs="Times New Roman"/>
          <w:b w:val="0"/>
          <w:bCs w:val="0"/>
          <w:color w:val="auto"/>
          <w:sz w:val="32"/>
          <w:szCs w:val="32"/>
          <w:u w:val="none"/>
          <w:lang w:val="en-US" w:eastAsia="zh-CN"/>
        </w:rPr>
        <w:t>学校的招生</w:t>
      </w:r>
      <w:r>
        <w:rPr>
          <w:rFonts w:hint="eastAsia" w:ascii="仿宋_GB2312" w:hAnsi="Calibri" w:eastAsia="仿宋_GB2312" w:cs="Times New Roman"/>
          <w:b w:val="0"/>
          <w:bCs w:val="0"/>
          <w:color w:val="auto"/>
          <w:sz w:val="32"/>
          <w:szCs w:val="32"/>
          <w:u w:val="none"/>
        </w:rPr>
        <w:t>方案</w:t>
      </w:r>
      <w:r>
        <w:rPr>
          <w:rFonts w:hint="eastAsia" w:ascii="仿宋_GB2312" w:hAnsi="Calibri" w:eastAsia="仿宋_GB2312" w:cs="Times New Roman"/>
          <w:b w:val="0"/>
          <w:bCs w:val="0"/>
          <w:color w:val="auto"/>
          <w:sz w:val="32"/>
          <w:szCs w:val="32"/>
          <w:u w:val="none"/>
          <w:lang w:val="en-US" w:eastAsia="zh-CN"/>
        </w:rPr>
        <w:t>要</w:t>
      </w:r>
      <w:r>
        <w:rPr>
          <w:rFonts w:hint="eastAsia" w:ascii="仿宋_GB2312" w:hAnsi="Calibri" w:eastAsia="仿宋_GB2312" w:cs="Times New Roman"/>
          <w:b w:val="0"/>
          <w:bCs w:val="0"/>
          <w:color w:val="auto"/>
          <w:sz w:val="32"/>
          <w:szCs w:val="32"/>
          <w:u w:val="none"/>
        </w:rPr>
        <w:t>突出对学生</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学科特长、创新潜质</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的考查，报市教育局批准后向社会公布，招生录取的各环节应</w:t>
      </w:r>
      <w:r>
        <w:rPr>
          <w:rFonts w:hint="eastAsia" w:ascii="仿宋_GB2312" w:hAnsi="Calibri" w:eastAsia="仿宋_GB2312" w:cs="Times New Roman"/>
          <w:b w:val="0"/>
          <w:bCs w:val="0"/>
          <w:color w:val="auto"/>
          <w:sz w:val="32"/>
          <w:szCs w:val="32"/>
          <w:u w:val="none"/>
          <w:lang w:eastAsia="zh-CN"/>
        </w:rPr>
        <w:t>主动</w:t>
      </w:r>
      <w:r>
        <w:rPr>
          <w:rFonts w:hint="eastAsia" w:ascii="仿宋_GB2312" w:hAnsi="Calibri" w:eastAsia="仿宋_GB2312" w:cs="Times New Roman"/>
          <w:b w:val="0"/>
          <w:bCs w:val="0"/>
          <w:color w:val="auto"/>
          <w:sz w:val="32"/>
          <w:szCs w:val="32"/>
          <w:u w:val="none"/>
        </w:rPr>
        <w:t>公开</w:t>
      </w:r>
      <w:r>
        <w:rPr>
          <w:rFonts w:hint="eastAsia" w:ascii="仿宋_GB2312" w:hAnsi="Calibri" w:eastAsia="仿宋_GB2312" w:cs="Times New Roman"/>
          <w:b w:val="0"/>
          <w:bCs w:val="0"/>
          <w:color w:val="auto"/>
          <w:sz w:val="32"/>
          <w:szCs w:val="32"/>
          <w:u w:val="none"/>
          <w:lang w:eastAsia="zh-CN"/>
        </w:rPr>
        <w:t>，具体方案另行</w:t>
      </w:r>
      <w:r>
        <w:rPr>
          <w:rFonts w:hint="eastAsia" w:ascii="仿宋_GB2312" w:hAnsi="Calibri" w:eastAsia="仿宋_GB2312" w:cs="Times New Roman"/>
          <w:b w:val="0"/>
          <w:bCs w:val="0"/>
          <w:color w:val="auto"/>
          <w:sz w:val="32"/>
          <w:szCs w:val="32"/>
          <w:u w:val="none"/>
          <w:lang w:val="en-US" w:eastAsia="zh-CN"/>
        </w:rPr>
        <w:t>通知</w:t>
      </w:r>
      <w:r>
        <w:rPr>
          <w:rFonts w:hint="eastAsia" w:ascii="仿宋_GB2312" w:hAnsi="Calibri" w:eastAsia="仿宋_GB2312" w:cs="Times New Roman"/>
          <w:b w:val="0"/>
          <w:bCs w:val="0"/>
          <w:color w:val="auto"/>
          <w:sz w:val="32"/>
          <w:szCs w:val="32"/>
          <w:u w:val="none"/>
        </w:rPr>
        <w:t>。</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4</w:t>
      </w: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eastAsia="zh-CN"/>
        </w:rPr>
        <w:t>市一中等11所</w:t>
      </w:r>
      <w:r>
        <w:rPr>
          <w:rFonts w:hint="eastAsia" w:ascii="仿宋_GB2312" w:hAnsi="Calibri" w:eastAsia="仿宋_GB2312" w:cs="Times New Roman"/>
          <w:b w:val="0"/>
          <w:bCs w:val="0"/>
          <w:color w:val="auto"/>
          <w:sz w:val="32"/>
          <w:szCs w:val="32"/>
          <w:u w:val="none"/>
        </w:rPr>
        <w:t>学校</w:t>
      </w:r>
      <w:r>
        <w:rPr>
          <w:rFonts w:hint="eastAsia" w:ascii="仿宋_GB2312" w:hAnsi="Calibri" w:eastAsia="仿宋_GB2312" w:cs="Times New Roman"/>
          <w:b w:val="0"/>
          <w:bCs w:val="0"/>
          <w:color w:val="auto"/>
          <w:sz w:val="32"/>
          <w:szCs w:val="32"/>
          <w:u w:val="none"/>
          <w:lang w:eastAsia="zh-CN"/>
        </w:rPr>
        <w:t>名额分配（</w:t>
      </w:r>
      <w:r>
        <w:rPr>
          <w:rFonts w:hint="eastAsia" w:ascii="仿宋_GB2312" w:hAnsi="Calibri" w:eastAsia="仿宋_GB2312" w:cs="Times New Roman"/>
          <w:b w:val="0"/>
          <w:bCs w:val="0"/>
          <w:color w:val="auto"/>
          <w:sz w:val="32"/>
          <w:szCs w:val="32"/>
          <w:u w:val="none"/>
        </w:rPr>
        <w:t>指标生</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录取标准。</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（1）基本条件：①必须是具有本市户籍或与本市户籍享有同等报考资格的应届初中毕业生；②综合表现评定结果应在Ｂ等级（含Ｂ等级）以上；③</w:t>
      </w:r>
      <w:r>
        <w:rPr>
          <w:rFonts w:hint="eastAsia" w:ascii="仿宋_GB2312" w:hAnsi="Calibri" w:eastAsia="仿宋_GB2312" w:cs="Times New Roman"/>
          <w:b w:val="0"/>
          <w:bCs w:val="0"/>
          <w:color w:val="auto"/>
          <w:sz w:val="32"/>
          <w:szCs w:val="32"/>
          <w:u w:val="none"/>
          <w:lang w:val="en-US" w:eastAsia="zh-CN"/>
        </w:rPr>
        <w:t>中考成绩</w:t>
      </w:r>
      <w:r>
        <w:rPr>
          <w:rFonts w:hint="eastAsia" w:ascii="仿宋_GB2312" w:hAnsi="Calibri" w:eastAsia="仿宋_GB2312" w:cs="Times New Roman"/>
          <w:b w:val="0"/>
          <w:bCs w:val="0"/>
          <w:color w:val="auto"/>
          <w:sz w:val="32"/>
          <w:szCs w:val="32"/>
          <w:u w:val="none"/>
        </w:rPr>
        <w:t>达到</w:t>
      </w:r>
      <w:r>
        <w:rPr>
          <w:rFonts w:hint="eastAsia" w:ascii="仿宋_GB2312" w:hAnsi="Calibri" w:eastAsia="仿宋_GB2312" w:cs="Times New Roman"/>
          <w:b w:val="0"/>
          <w:bCs w:val="0"/>
          <w:color w:val="auto"/>
          <w:sz w:val="32"/>
          <w:szCs w:val="32"/>
          <w:u w:val="none"/>
          <w:lang w:val="en-US" w:eastAsia="zh-CN"/>
        </w:rPr>
        <w:t>招生计划</w:t>
      </w:r>
      <w:r>
        <w:rPr>
          <w:rFonts w:hint="eastAsia" w:ascii="仿宋_GB2312" w:hAnsi="Calibri" w:eastAsia="仿宋_GB2312" w:cs="Times New Roman"/>
          <w:b w:val="0"/>
          <w:bCs w:val="0"/>
          <w:color w:val="auto"/>
          <w:sz w:val="32"/>
          <w:szCs w:val="32"/>
          <w:u w:val="none"/>
        </w:rPr>
        <w:t>批次录取最低资格要求</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④具备在同一所初中学校连续就读三年学籍</w:t>
      </w:r>
      <w:r>
        <w:rPr>
          <w:rFonts w:hint="eastAsia" w:ascii="仿宋_GB2312" w:hAnsi="Calibri" w:eastAsia="仿宋_GB2312" w:cs="Times New Roman"/>
          <w:b w:val="0"/>
          <w:bCs w:val="0"/>
          <w:color w:val="auto"/>
          <w:sz w:val="32"/>
          <w:szCs w:val="32"/>
          <w:u w:val="none"/>
          <w:lang w:eastAsia="zh-CN"/>
        </w:rPr>
        <w:t>。</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rPr>
        <w:t>（2）市一中名额分配与其他</w:t>
      </w:r>
      <w:r>
        <w:rPr>
          <w:rFonts w:hint="eastAsia" w:ascii="仿宋_GB2312" w:hAnsi="Calibri" w:eastAsia="仿宋_GB2312" w:cs="Times New Roman"/>
          <w:b w:val="0"/>
          <w:bCs w:val="0"/>
          <w:color w:val="auto"/>
          <w:sz w:val="32"/>
          <w:szCs w:val="32"/>
          <w:u w:val="none"/>
          <w:lang w:val="en-US" w:eastAsia="zh-CN"/>
        </w:rPr>
        <w:t>10</w:t>
      </w:r>
      <w:r>
        <w:rPr>
          <w:rFonts w:hint="eastAsia" w:ascii="仿宋_GB2312" w:hAnsi="Calibri" w:eastAsia="仿宋_GB2312" w:cs="Times New Roman"/>
          <w:b w:val="0"/>
          <w:bCs w:val="0"/>
          <w:color w:val="auto"/>
          <w:sz w:val="32"/>
          <w:szCs w:val="32"/>
          <w:u w:val="none"/>
        </w:rPr>
        <w:t>所学校</w:t>
      </w:r>
      <w:r>
        <w:rPr>
          <w:rFonts w:hint="eastAsia" w:ascii="仿宋_GB2312" w:hAnsi="Calibri" w:eastAsia="仿宋_GB2312" w:cs="Times New Roman"/>
          <w:b w:val="0"/>
          <w:bCs w:val="0"/>
          <w:color w:val="auto"/>
          <w:sz w:val="32"/>
          <w:szCs w:val="32"/>
          <w:u w:val="none"/>
          <w:lang w:val="en-US" w:eastAsia="zh-CN"/>
        </w:rPr>
        <w:t>的志愿</w:t>
      </w:r>
      <w:r>
        <w:rPr>
          <w:rFonts w:hint="eastAsia" w:ascii="仿宋_GB2312" w:hAnsi="Calibri" w:eastAsia="仿宋_GB2312" w:cs="Times New Roman"/>
          <w:b w:val="0"/>
          <w:bCs w:val="0"/>
          <w:color w:val="auto"/>
          <w:sz w:val="32"/>
          <w:szCs w:val="32"/>
          <w:u w:val="none"/>
        </w:rPr>
        <w:t>分开</w:t>
      </w:r>
      <w:r>
        <w:rPr>
          <w:rFonts w:hint="eastAsia" w:ascii="仿宋_GB2312" w:hAnsi="Calibri" w:eastAsia="仿宋_GB2312" w:cs="Times New Roman"/>
          <w:b w:val="0"/>
          <w:bCs w:val="0"/>
          <w:color w:val="auto"/>
          <w:sz w:val="32"/>
          <w:szCs w:val="32"/>
          <w:u w:val="none"/>
          <w:lang w:val="en-US" w:eastAsia="zh-CN"/>
        </w:rPr>
        <w:t>设置</w:t>
      </w:r>
      <w:r>
        <w:rPr>
          <w:rFonts w:hint="eastAsia" w:ascii="仿宋_GB2312" w:hAnsi="Calibri" w:eastAsia="仿宋_GB2312" w:cs="Times New Roman"/>
          <w:b w:val="0"/>
          <w:bCs w:val="0"/>
          <w:color w:val="auto"/>
          <w:sz w:val="32"/>
          <w:szCs w:val="32"/>
          <w:u w:val="none"/>
          <w:lang w:eastAsia="zh-CN"/>
        </w:rPr>
        <w:t>。</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3</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符合</w:t>
      </w:r>
      <w:r>
        <w:rPr>
          <w:rFonts w:hint="eastAsia" w:ascii="仿宋_GB2312" w:hAnsi="Calibri" w:eastAsia="仿宋_GB2312" w:cs="Times New Roman"/>
          <w:b w:val="0"/>
          <w:bCs w:val="0"/>
          <w:color w:val="auto"/>
          <w:sz w:val="32"/>
          <w:szCs w:val="32"/>
          <w:u w:val="none"/>
          <w:lang w:eastAsia="zh-CN"/>
        </w:rPr>
        <w:t>基本</w:t>
      </w:r>
      <w:r>
        <w:rPr>
          <w:rFonts w:hint="eastAsia" w:ascii="仿宋_GB2312" w:hAnsi="Calibri" w:eastAsia="仿宋_GB2312" w:cs="Times New Roman"/>
          <w:b w:val="0"/>
          <w:bCs w:val="0"/>
          <w:color w:val="auto"/>
          <w:sz w:val="32"/>
          <w:szCs w:val="32"/>
          <w:u w:val="none"/>
        </w:rPr>
        <w:t>条件</w:t>
      </w:r>
      <w:r>
        <w:rPr>
          <w:rFonts w:hint="eastAsia" w:ascii="仿宋_GB2312" w:hAnsi="Calibri" w:eastAsia="仿宋_GB2312" w:cs="Times New Roman"/>
          <w:b w:val="0"/>
          <w:bCs w:val="0"/>
          <w:color w:val="auto"/>
          <w:sz w:val="32"/>
          <w:szCs w:val="32"/>
          <w:u w:val="none"/>
          <w:lang w:val="en-US" w:eastAsia="zh-CN"/>
        </w:rPr>
        <w:t>的</w:t>
      </w:r>
      <w:r>
        <w:rPr>
          <w:rFonts w:hint="eastAsia" w:ascii="仿宋_GB2312" w:hAnsi="Calibri" w:eastAsia="仿宋_GB2312" w:cs="Times New Roman"/>
          <w:b w:val="0"/>
          <w:bCs w:val="0"/>
          <w:color w:val="auto"/>
          <w:sz w:val="32"/>
          <w:szCs w:val="32"/>
          <w:u w:val="none"/>
        </w:rPr>
        <w:t>考生，按志愿顺序从高分到低分投档录取分配到</w:t>
      </w:r>
      <w:r>
        <w:rPr>
          <w:rFonts w:hint="eastAsia" w:ascii="仿宋_GB2312" w:hAnsi="Calibri" w:eastAsia="仿宋_GB2312" w:cs="Times New Roman"/>
          <w:b w:val="0"/>
          <w:bCs w:val="0"/>
          <w:color w:val="auto"/>
          <w:sz w:val="32"/>
          <w:szCs w:val="32"/>
          <w:u w:val="none"/>
          <w:lang w:val="en-US" w:eastAsia="zh-CN"/>
        </w:rPr>
        <w:t>所在</w:t>
      </w:r>
      <w:r>
        <w:rPr>
          <w:rFonts w:hint="eastAsia" w:ascii="仿宋_GB2312" w:hAnsi="Calibri" w:eastAsia="仿宋_GB2312" w:cs="Times New Roman"/>
          <w:b w:val="0"/>
          <w:bCs w:val="0"/>
          <w:color w:val="auto"/>
          <w:sz w:val="32"/>
          <w:szCs w:val="32"/>
          <w:u w:val="none"/>
        </w:rPr>
        <w:t>初中学校的名额。</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4</w:t>
      </w:r>
      <w:r>
        <w:rPr>
          <w:rFonts w:hint="eastAsia" w:ascii="仿宋_GB2312" w:hAnsi="Calibri" w:eastAsia="仿宋_GB2312" w:cs="Times New Roman"/>
          <w:b w:val="0"/>
          <w:bCs w:val="0"/>
          <w:color w:val="auto"/>
          <w:sz w:val="32"/>
          <w:szCs w:val="32"/>
          <w:u w:val="none"/>
        </w:rPr>
        <w:t>）在投档过程中，若某普通高中学校在初中学校</w:t>
      </w:r>
      <w:r>
        <w:rPr>
          <w:rFonts w:hint="eastAsia" w:ascii="仿宋_GB2312" w:hAnsi="Calibri" w:eastAsia="仿宋_GB2312" w:cs="Times New Roman"/>
          <w:b w:val="0"/>
          <w:bCs w:val="0"/>
          <w:color w:val="auto"/>
          <w:sz w:val="32"/>
          <w:szCs w:val="32"/>
          <w:u w:val="none"/>
          <w:lang w:eastAsia="zh-CN"/>
        </w:rPr>
        <w:t>名额分配</w:t>
      </w:r>
      <w:r>
        <w:rPr>
          <w:rFonts w:hint="eastAsia" w:ascii="仿宋_GB2312" w:hAnsi="Calibri" w:eastAsia="仿宋_GB2312" w:cs="Times New Roman"/>
          <w:b w:val="0"/>
          <w:bCs w:val="0"/>
          <w:color w:val="auto"/>
          <w:sz w:val="32"/>
          <w:szCs w:val="32"/>
          <w:u w:val="none"/>
        </w:rPr>
        <w:t>计划数末名有两人或以上考生分数相同，则采用“同分比较原则”找出优先者。</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5</w:t>
      </w: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名额分配（</w:t>
      </w:r>
      <w:r>
        <w:rPr>
          <w:rFonts w:hint="eastAsia" w:ascii="仿宋_GB2312" w:hAnsi="Calibri" w:eastAsia="仿宋_GB2312" w:cs="Times New Roman"/>
          <w:b w:val="0"/>
          <w:bCs w:val="0"/>
          <w:color w:val="auto"/>
          <w:sz w:val="32"/>
          <w:szCs w:val="32"/>
          <w:u w:val="none"/>
          <w:lang w:eastAsia="zh-CN"/>
        </w:rPr>
        <w:t>指标生）</w:t>
      </w:r>
      <w:r>
        <w:rPr>
          <w:rFonts w:hint="eastAsia" w:ascii="仿宋_GB2312" w:hAnsi="Calibri" w:eastAsia="仿宋_GB2312" w:cs="Times New Roman"/>
          <w:b w:val="0"/>
          <w:bCs w:val="0"/>
          <w:color w:val="auto"/>
          <w:sz w:val="32"/>
          <w:szCs w:val="32"/>
          <w:u w:val="none"/>
        </w:rPr>
        <w:t>因考生资格和志愿填报等原因未能完成的计划数予以收回，</w:t>
      </w:r>
      <w:r>
        <w:rPr>
          <w:rFonts w:hint="eastAsia" w:ascii="仿宋_GB2312" w:hAnsi="Calibri" w:eastAsia="仿宋_GB2312" w:cs="Times New Roman"/>
          <w:b w:val="0"/>
          <w:bCs w:val="0"/>
          <w:color w:val="auto"/>
          <w:sz w:val="32"/>
          <w:szCs w:val="32"/>
          <w:u w:val="none"/>
          <w:lang w:val="en-US" w:eastAsia="zh-CN"/>
        </w:rPr>
        <w:t>在第一批投档录取</w:t>
      </w:r>
      <w:r>
        <w:rPr>
          <w:rFonts w:hint="eastAsia" w:ascii="仿宋_GB2312" w:hAnsi="Calibri" w:eastAsia="仿宋_GB2312" w:cs="Times New Roman"/>
          <w:b w:val="0"/>
          <w:bCs w:val="0"/>
          <w:color w:val="auto"/>
          <w:sz w:val="32"/>
          <w:szCs w:val="32"/>
          <w:u w:val="none"/>
        </w:rPr>
        <w:t>。</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5</w:t>
      </w:r>
      <w:r>
        <w:rPr>
          <w:rFonts w:hint="eastAsia" w:ascii="仿宋_GB2312" w:hAnsi="Calibri" w:eastAsia="仿宋_GB2312" w:cs="Times New Roman"/>
          <w:b w:val="0"/>
          <w:bCs w:val="0"/>
          <w:color w:val="auto"/>
          <w:sz w:val="32"/>
          <w:szCs w:val="32"/>
          <w:u w:val="none"/>
        </w:rPr>
        <w:t>.第一批（</w:t>
      </w:r>
      <w:r>
        <w:rPr>
          <w:rFonts w:hint="eastAsia" w:ascii="仿宋_GB2312" w:hAnsi="Calibri" w:eastAsia="仿宋_GB2312" w:cs="Times New Roman"/>
          <w:b w:val="0"/>
          <w:bCs w:val="0"/>
          <w:color w:val="auto"/>
          <w:sz w:val="32"/>
          <w:szCs w:val="32"/>
          <w:u w:val="none"/>
          <w:lang w:eastAsia="zh-CN"/>
        </w:rPr>
        <w:t>名额分配</w:t>
      </w:r>
      <w:r>
        <w:rPr>
          <w:rFonts w:hint="eastAsia" w:ascii="仿宋_GB2312" w:hAnsi="Calibri" w:eastAsia="仿宋_GB2312" w:cs="Times New Roman"/>
          <w:b w:val="0"/>
          <w:bCs w:val="0"/>
          <w:color w:val="auto"/>
          <w:sz w:val="32"/>
          <w:szCs w:val="32"/>
          <w:u w:val="none"/>
        </w:rPr>
        <w:t>除外）、普通高中补录录取标准。</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由市招生部门按1:1的比例划定各批次（层次）高中阶段学校录取控制线，并根据考生志愿的先后顺序和各高中阶段学校的招生计划，从高分到低分投档录取。国家级示范性普通高中录取学生综合表现评定结果在B等级（含B等级）以上。</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（1）</w:t>
      </w:r>
      <w:r>
        <w:rPr>
          <w:rFonts w:hint="eastAsia" w:ascii="仿宋_GB2312" w:hAnsi="Calibri" w:eastAsia="仿宋_GB2312" w:cs="Times New Roman"/>
          <w:b w:val="0"/>
          <w:bCs w:val="0"/>
          <w:color w:val="auto"/>
          <w:sz w:val="32"/>
          <w:szCs w:val="32"/>
          <w:u w:val="none"/>
          <w:lang w:val="en-US" w:eastAsia="zh-CN"/>
        </w:rPr>
        <w:t>将普通高中</w:t>
      </w:r>
      <w:r>
        <w:rPr>
          <w:rFonts w:hint="eastAsia" w:ascii="仿宋_GB2312" w:hAnsi="Calibri" w:eastAsia="仿宋_GB2312" w:cs="Times New Roman"/>
          <w:b w:val="0"/>
          <w:bCs w:val="0"/>
          <w:color w:val="auto"/>
          <w:sz w:val="32"/>
          <w:szCs w:val="32"/>
          <w:u w:val="none"/>
        </w:rPr>
        <w:t>学校未能完成的招生计划</w:t>
      </w:r>
      <w:r>
        <w:rPr>
          <w:rFonts w:hint="eastAsia" w:ascii="仿宋_GB2312" w:hAnsi="Calibri" w:eastAsia="仿宋_GB2312" w:cs="Times New Roman"/>
          <w:b w:val="0"/>
          <w:bCs w:val="0"/>
          <w:color w:val="auto"/>
          <w:sz w:val="32"/>
          <w:szCs w:val="32"/>
          <w:u w:val="none"/>
          <w:lang w:val="en-US" w:eastAsia="zh-CN"/>
        </w:rPr>
        <w:t>数</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含</w:t>
      </w:r>
      <w:r>
        <w:rPr>
          <w:rFonts w:hint="eastAsia" w:ascii="仿宋_GB2312" w:hAnsi="Calibri" w:eastAsia="仿宋_GB2312" w:cs="Times New Roman"/>
          <w:b w:val="0"/>
          <w:bCs w:val="0"/>
          <w:color w:val="auto"/>
          <w:sz w:val="32"/>
          <w:szCs w:val="32"/>
          <w:u w:val="none"/>
        </w:rPr>
        <w:t>体艺特长生、名额分配等</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，自动收回并添加到普通生招生计划总数中。</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2</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按各批次（层次）招生学校的总计划数，以一定比例划定该批次（层次）录取控制线。</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3</w:t>
      </w:r>
      <w:r>
        <w:rPr>
          <w:rFonts w:hint="eastAsia" w:ascii="仿宋_GB2312" w:hAnsi="Calibri" w:eastAsia="仿宋_GB2312" w:cs="Times New Roman"/>
          <w:b w:val="0"/>
          <w:bCs w:val="0"/>
          <w:color w:val="auto"/>
          <w:sz w:val="32"/>
          <w:szCs w:val="32"/>
          <w:u w:val="none"/>
        </w:rPr>
        <w:t>）在各批次（层次）录取控制线上，根据考生志愿的先后顺序和各高中阶段学校的招生计划，从高分到低分按一定比例进行投档。</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4</w:t>
      </w:r>
      <w:r>
        <w:rPr>
          <w:rFonts w:hint="eastAsia" w:ascii="仿宋_GB2312" w:hAnsi="Calibri" w:eastAsia="仿宋_GB2312" w:cs="Times New Roman"/>
          <w:b w:val="0"/>
          <w:bCs w:val="0"/>
          <w:color w:val="auto"/>
          <w:sz w:val="32"/>
          <w:szCs w:val="32"/>
          <w:u w:val="none"/>
        </w:rPr>
        <w:t>）投档时，先投第一志愿，若招生学校计划未满，则投第二志愿，第三志愿，……，</w:t>
      </w:r>
      <w:r>
        <w:rPr>
          <w:rFonts w:hint="eastAsia" w:ascii="仿宋_GB2312" w:hAnsi="Calibri" w:eastAsia="仿宋_GB2312" w:cs="Times New Roman"/>
          <w:b w:val="0"/>
          <w:bCs w:val="0"/>
          <w:color w:val="auto"/>
          <w:sz w:val="32"/>
          <w:szCs w:val="32"/>
          <w:u w:val="none"/>
          <w:lang w:eastAsia="zh-CN"/>
        </w:rPr>
        <w:t>以此类推</w:t>
      </w:r>
      <w:r>
        <w:rPr>
          <w:rFonts w:hint="eastAsia" w:ascii="仿宋_GB2312" w:hAnsi="Calibri" w:eastAsia="仿宋_GB2312" w:cs="Times New Roman"/>
          <w:b w:val="0"/>
          <w:bCs w:val="0"/>
          <w:color w:val="auto"/>
          <w:sz w:val="32"/>
          <w:szCs w:val="32"/>
          <w:u w:val="none"/>
        </w:rPr>
        <w:t>。</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5</w:t>
      </w:r>
      <w:r>
        <w:rPr>
          <w:rFonts w:hint="eastAsia" w:ascii="仿宋_GB2312" w:hAnsi="Calibri" w:eastAsia="仿宋_GB2312" w:cs="Times New Roman"/>
          <w:b w:val="0"/>
          <w:bCs w:val="0"/>
          <w:color w:val="auto"/>
          <w:sz w:val="32"/>
          <w:szCs w:val="32"/>
          <w:u w:val="none"/>
        </w:rPr>
        <w:t>）若在该批次（层次）的录取控制线上未完成招生计划，以5分为一个分数段，依次降分按志愿顺序投档录取。</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w:t>
      </w:r>
      <w:r>
        <w:rPr>
          <w:rFonts w:hint="eastAsia" w:ascii="仿宋_GB2312" w:hAnsi="Calibri" w:eastAsia="仿宋_GB2312" w:cs="Times New Roman"/>
          <w:b w:val="0"/>
          <w:bCs w:val="0"/>
          <w:color w:val="auto"/>
          <w:sz w:val="32"/>
          <w:szCs w:val="32"/>
          <w:u w:val="none"/>
          <w:lang w:val="en-US" w:eastAsia="zh-CN"/>
        </w:rPr>
        <w:t>6</w:t>
      </w:r>
      <w:r>
        <w:rPr>
          <w:rFonts w:hint="eastAsia" w:ascii="仿宋_GB2312" w:hAnsi="Calibri" w:eastAsia="仿宋_GB2312" w:cs="Times New Roman"/>
          <w:b w:val="0"/>
          <w:bCs w:val="0"/>
          <w:color w:val="auto"/>
          <w:sz w:val="32"/>
          <w:szCs w:val="32"/>
          <w:u w:val="none"/>
        </w:rPr>
        <w:t>）在投档过程中，若招生学校计划数末名有两人或以上考生分数相同，则采用“同分比较原则”找出优先者。</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6</w:t>
      </w:r>
      <w:r>
        <w:rPr>
          <w:rFonts w:hint="eastAsia" w:ascii="仿宋_GB2312" w:hAnsi="仿宋_GB2312" w:eastAsia="仿宋_GB2312" w:cs="仿宋_GB2312"/>
          <w:b w:val="0"/>
          <w:bCs w:val="0"/>
          <w:color w:val="auto"/>
          <w:sz w:val="32"/>
          <w:szCs w:val="32"/>
          <w:u w:val="none"/>
        </w:rPr>
        <w:t>.“同分比较原则”的规则是：①比较是否符合优先录取政策；②比较综合表现评定等级，优先录取综合表现评定等级高的考生；③比较考试科目总分（不含加分）；④比较语文、数学、英语三科总分；⑤按语文、数学、英语、物理、化学、道德与法治、历史顺序比较单科成绩，直至找出优先者。</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7</w:t>
      </w:r>
      <w:r>
        <w:rPr>
          <w:rFonts w:hint="eastAsia" w:ascii="仿宋_GB2312" w:hAnsi="Calibri" w:eastAsia="仿宋_GB2312" w:cs="Times New Roman"/>
          <w:b w:val="0"/>
          <w:bCs w:val="0"/>
          <w:color w:val="auto"/>
          <w:sz w:val="32"/>
          <w:szCs w:val="32"/>
          <w:u w:val="none"/>
        </w:rPr>
        <w:t>.稳步提高</w:t>
      </w:r>
      <w:r>
        <w:rPr>
          <w:rFonts w:hint="eastAsia" w:ascii="仿宋_GB2312" w:hAnsi="Calibri" w:eastAsia="仿宋_GB2312" w:cs="Times New Roman"/>
          <w:b w:val="0"/>
          <w:bCs w:val="0"/>
          <w:color w:val="auto"/>
          <w:sz w:val="32"/>
          <w:szCs w:val="32"/>
          <w:u w:val="none"/>
          <w:lang w:val="en-US" w:eastAsia="zh-CN"/>
        </w:rPr>
        <w:t>体育、</w:t>
      </w:r>
      <w:r>
        <w:rPr>
          <w:rFonts w:hint="eastAsia" w:ascii="仿宋_GB2312" w:hAnsi="Calibri" w:eastAsia="仿宋_GB2312" w:cs="Times New Roman"/>
          <w:b w:val="0"/>
          <w:bCs w:val="0"/>
          <w:color w:val="auto"/>
          <w:sz w:val="32"/>
          <w:szCs w:val="32"/>
          <w:u w:val="none"/>
        </w:rPr>
        <w:t>艺术类专业文化课成绩录取控制分数线</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体育、艺术</w:t>
      </w:r>
      <w:r>
        <w:rPr>
          <w:rFonts w:hint="eastAsia" w:ascii="仿宋_GB2312" w:hAnsi="Calibri" w:eastAsia="仿宋_GB2312" w:cs="Times New Roman"/>
          <w:b w:val="0"/>
          <w:bCs w:val="0"/>
          <w:sz w:val="32"/>
          <w:szCs w:val="32"/>
          <w:u w:val="none"/>
        </w:rPr>
        <w:t>特长生</w:t>
      </w:r>
      <w:r>
        <w:rPr>
          <w:rFonts w:hint="eastAsia" w:ascii="仿宋_GB2312" w:hAnsi="Calibri" w:eastAsia="仿宋_GB2312" w:cs="Times New Roman"/>
          <w:b w:val="0"/>
          <w:bCs w:val="0"/>
          <w:color w:val="auto"/>
          <w:sz w:val="32"/>
          <w:szCs w:val="32"/>
          <w:u w:val="none"/>
        </w:rPr>
        <w:t>的招生录取标准另行通知。</w:t>
      </w:r>
    </w:p>
    <w:p>
      <w:pPr>
        <w:spacing w:line="560" w:lineRule="exact"/>
        <w:ind w:firstLine="640" w:firstLineChars="200"/>
        <w:rPr>
          <w:rFonts w:hint="default"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8.民办普通高中招收公费生按公办普通高中录取办法执行。</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lang w:val="en-US" w:eastAsia="zh-CN"/>
        </w:rPr>
        <w:t>9</w:t>
      </w:r>
      <w:r>
        <w:rPr>
          <w:rFonts w:hint="eastAsia" w:ascii="仿宋_GB2312" w:hAnsi="Calibri" w:eastAsia="仿宋_GB2312" w:cs="Times New Roman"/>
          <w:b w:val="0"/>
          <w:bCs w:val="0"/>
          <w:color w:val="auto"/>
          <w:sz w:val="32"/>
          <w:szCs w:val="32"/>
          <w:u w:val="none"/>
        </w:rPr>
        <w:t>.第三批</w:t>
      </w:r>
      <w:r>
        <w:rPr>
          <w:rFonts w:hint="eastAsia" w:ascii="仿宋_GB2312" w:hAnsi="Calibri" w:eastAsia="仿宋_GB2312" w:cs="Times New Roman"/>
          <w:b w:val="0"/>
          <w:bCs w:val="0"/>
          <w:color w:val="auto"/>
          <w:sz w:val="32"/>
          <w:szCs w:val="32"/>
          <w:u w:val="none"/>
          <w:lang w:eastAsia="zh-CN"/>
        </w:rPr>
        <w:t>面向全市的</w:t>
      </w:r>
      <w:r>
        <w:rPr>
          <w:rFonts w:hint="eastAsia" w:ascii="仿宋_GB2312" w:hAnsi="Calibri" w:eastAsia="仿宋_GB2312" w:cs="Times New Roman"/>
          <w:b w:val="0"/>
          <w:bCs w:val="0"/>
          <w:color w:val="auto"/>
          <w:sz w:val="32"/>
          <w:szCs w:val="32"/>
          <w:u w:val="none"/>
        </w:rPr>
        <w:t>中职学校（技工学校）招生投档</w:t>
      </w:r>
      <w:r>
        <w:rPr>
          <w:rFonts w:hint="eastAsia" w:ascii="仿宋_GB2312" w:hAnsi="Calibri" w:eastAsia="仿宋_GB2312" w:cs="Times New Roman"/>
          <w:b w:val="0"/>
          <w:bCs w:val="0"/>
          <w:color w:val="auto"/>
          <w:sz w:val="32"/>
          <w:szCs w:val="32"/>
          <w:u w:val="none"/>
          <w:lang w:eastAsia="zh-CN"/>
        </w:rPr>
        <w:t>由市招生办</w:t>
      </w:r>
      <w:r>
        <w:rPr>
          <w:rFonts w:hint="eastAsia" w:ascii="仿宋_GB2312" w:hAnsi="Calibri" w:eastAsia="仿宋_GB2312" w:cs="Times New Roman"/>
          <w:b w:val="0"/>
          <w:bCs w:val="0"/>
          <w:color w:val="auto"/>
          <w:sz w:val="32"/>
          <w:szCs w:val="32"/>
          <w:u w:val="none"/>
        </w:rPr>
        <w:t>参照普通高中普通生投档办法执行。</w:t>
      </w:r>
    </w:p>
    <w:p>
      <w:pPr>
        <w:spacing w:line="560" w:lineRule="exact"/>
        <w:ind w:firstLine="640" w:firstLineChars="200"/>
        <w:rPr>
          <w:rFonts w:hint="eastAsia" w:ascii="楷体_GB2312" w:hAnsi="Calibri" w:eastAsia="楷体_GB2312" w:cs="Times New Roman"/>
          <w:b w:val="0"/>
          <w:bCs w:val="0"/>
          <w:color w:val="auto"/>
          <w:sz w:val="32"/>
          <w:szCs w:val="32"/>
          <w:u w:val="none"/>
          <w:lang w:eastAsia="zh-CN"/>
        </w:rPr>
      </w:pPr>
      <w:r>
        <w:rPr>
          <w:rFonts w:hint="eastAsia" w:ascii="楷体_GB2312" w:hAnsi="Calibri" w:eastAsia="楷体_GB2312" w:cs="Times New Roman"/>
          <w:b w:val="0"/>
          <w:bCs w:val="0"/>
          <w:color w:val="auto"/>
          <w:sz w:val="32"/>
          <w:szCs w:val="32"/>
          <w:u w:val="none"/>
        </w:rPr>
        <w:t>（二）面向区内招生的批次</w:t>
      </w:r>
      <w:r>
        <w:rPr>
          <w:rFonts w:hint="eastAsia" w:ascii="楷体_GB2312" w:eastAsia="楷体_GB2312" w:cs="Times New Roman"/>
          <w:b w:val="0"/>
          <w:bCs w:val="0"/>
          <w:color w:val="auto"/>
          <w:sz w:val="32"/>
          <w:szCs w:val="32"/>
          <w:u w:val="none"/>
          <w:lang w:eastAsia="zh-CN"/>
        </w:rPr>
        <w:t>。</w:t>
      </w:r>
    </w:p>
    <w:p>
      <w:pPr>
        <w:spacing w:line="560" w:lineRule="exact"/>
        <w:ind w:firstLine="640" w:firstLineChars="200"/>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第二批的层次划分和相关学校的录取</w:t>
      </w:r>
      <w:r>
        <w:rPr>
          <w:rFonts w:hint="eastAsia" w:ascii="仿宋_GB2312" w:hAnsi="Calibri" w:eastAsia="仿宋_GB2312" w:cs="Times New Roman"/>
          <w:b w:val="0"/>
          <w:bCs w:val="0"/>
          <w:color w:val="auto"/>
          <w:sz w:val="32"/>
          <w:szCs w:val="32"/>
          <w:u w:val="none"/>
          <w:lang w:eastAsia="zh-CN"/>
        </w:rPr>
        <w:t>标准细则</w:t>
      </w:r>
      <w:r>
        <w:rPr>
          <w:rFonts w:hint="eastAsia" w:ascii="仿宋_GB2312" w:hAnsi="Calibri" w:eastAsia="仿宋_GB2312" w:cs="Times New Roman"/>
          <w:b w:val="0"/>
          <w:bCs w:val="0"/>
          <w:color w:val="auto"/>
          <w:sz w:val="32"/>
          <w:szCs w:val="32"/>
          <w:u w:val="none"/>
        </w:rPr>
        <w:t>由各区自行确定，并报市招生部门备案。普通高中补录（公办高中部分）</w:t>
      </w:r>
      <w:r>
        <w:rPr>
          <w:rFonts w:hint="eastAsia" w:ascii="仿宋_GB2312" w:hAnsi="Calibri" w:eastAsia="仿宋_GB2312" w:cs="Times New Roman"/>
          <w:b w:val="0"/>
          <w:bCs w:val="0"/>
          <w:color w:val="auto"/>
          <w:sz w:val="32"/>
          <w:szCs w:val="32"/>
          <w:u w:val="none"/>
          <w:lang w:eastAsia="zh-CN"/>
        </w:rPr>
        <w:t>和第三批（面向区内部分）相关学校的录取标准由各区确定，并报市招生办实施投档。</w:t>
      </w:r>
      <w:r>
        <w:rPr>
          <w:rFonts w:hint="eastAsia" w:ascii="仿宋_GB2312" w:hAnsi="Calibri" w:eastAsia="仿宋_GB2312" w:cs="Times New Roman"/>
          <w:b w:val="0"/>
          <w:bCs w:val="0"/>
          <w:color w:val="auto"/>
          <w:sz w:val="32"/>
          <w:szCs w:val="32"/>
          <w:u w:val="none"/>
        </w:rPr>
        <w:t>各高中阶段学校招生录取批次完成后，中职学校（技工学校）未完成招生计划实行注册入学招生。</w:t>
      </w:r>
    </w:p>
    <w:p>
      <w:pPr>
        <w:spacing w:line="560" w:lineRule="exact"/>
        <w:ind w:firstLine="640" w:firstLineChars="200"/>
        <w:rPr>
          <w:rFonts w:hint="eastAsia" w:ascii="楷体_GB2312" w:hAnsi="Calibri" w:eastAsia="楷体_GB2312" w:cs="Times New Roman"/>
          <w:b w:val="0"/>
          <w:bCs w:val="0"/>
          <w:color w:val="auto"/>
          <w:sz w:val="32"/>
          <w:szCs w:val="32"/>
          <w:u w:val="none"/>
          <w:lang w:eastAsia="zh-CN"/>
        </w:rPr>
      </w:pPr>
      <w:r>
        <w:rPr>
          <w:rFonts w:hint="eastAsia" w:ascii="楷体_GB2312" w:hAnsi="Calibri" w:eastAsia="楷体_GB2312" w:cs="Times New Roman"/>
          <w:b w:val="0"/>
          <w:bCs w:val="0"/>
          <w:color w:val="auto"/>
          <w:sz w:val="32"/>
          <w:szCs w:val="32"/>
          <w:u w:val="none"/>
          <w:lang w:eastAsia="zh-CN"/>
        </w:rPr>
        <w:t>（</w:t>
      </w:r>
      <w:r>
        <w:rPr>
          <w:rFonts w:hint="eastAsia" w:ascii="楷体_GB2312" w:hAnsi="Calibri" w:eastAsia="楷体_GB2312" w:cs="Times New Roman"/>
          <w:b w:val="0"/>
          <w:bCs w:val="0"/>
          <w:color w:val="auto"/>
          <w:sz w:val="32"/>
          <w:szCs w:val="32"/>
          <w:u w:val="none"/>
          <w:lang w:val="en-US" w:eastAsia="zh-CN"/>
        </w:rPr>
        <w:t>三</w:t>
      </w:r>
      <w:r>
        <w:rPr>
          <w:rFonts w:hint="eastAsia" w:ascii="楷体_GB2312" w:hAnsi="Calibri" w:eastAsia="楷体_GB2312" w:cs="Times New Roman"/>
          <w:b w:val="0"/>
          <w:bCs w:val="0"/>
          <w:color w:val="auto"/>
          <w:sz w:val="32"/>
          <w:szCs w:val="32"/>
          <w:u w:val="none"/>
          <w:lang w:eastAsia="zh-CN"/>
        </w:rPr>
        <w:t>）照顾录取政策</w:t>
      </w:r>
      <w:r>
        <w:rPr>
          <w:rFonts w:hint="eastAsia" w:ascii="楷体_GB2312" w:eastAsia="楷体_GB2312" w:cs="Times New Roman"/>
          <w:b w:val="0"/>
          <w:bCs w:val="0"/>
          <w:color w:val="auto"/>
          <w:sz w:val="32"/>
          <w:szCs w:val="32"/>
          <w:u w:val="none"/>
          <w:lang w:eastAsia="zh-CN"/>
        </w:rPr>
        <w:t>。</w:t>
      </w:r>
    </w:p>
    <w:p>
      <w:pPr>
        <w:spacing w:line="560" w:lineRule="exact"/>
        <w:ind w:firstLine="640" w:firstLineChars="200"/>
        <w:rPr>
          <w:rFonts w:hint="eastAsia" w:ascii="仿宋_GB2312" w:hAnsi="Calibri" w:eastAsia="仿宋_GB2312" w:cs="Times New Roman"/>
          <w:b w:val="0"/>
          <w:bCs w:val="0"/>
          <w:color w:val="auto"/>
          <w:sz w:val="32"/>
          <w:szCs w:val="32"/>
          <w:u w:val="none"/>
          <w:lang w:eastAsia="zh-CN"/>
        </w:rPr>
      </w:pPr>
      <w:r>
        <w:rPr>
          <w:rFonts w:hint="eastAsia" w:ascii="仿宋_GB2312" w:hAnsi="Calibri" w:eastAsia="仿宋_GB2312" w:cs="Times New Roman"/>
          <w:b w:val="0"/>
          <w:bCs w:val="0"/>
          <w:color w:val="auto"/>
          <w:sz w:val="32"/>
          <w:szCs w:val="32"/>
          <w:u w:val="none"/>
          <w:lang w:eastAsia="zh-CN"/>
        </w:rPr>
        <w:t>规范执行国家规定的特殊群体等加分政策（</w:t>
      </w:r>
      <w:r>
        <w:rPr>
          <w:rFonts w:hint="eastAsia" w:ascii="仿宋_GB2312" w:hAnsi="Calibri" w:eastAsia="仿宋_GB2312" w:cs="Times New Roman"/>
          <w:b w:val="0"/>
          <w:bCs w:val="0"/>
          <w:color w:val="auto"/>
          <w:sz w:val="32"/>
          <w:szCs w:val="32"/>
          <w:u w:val="none"/>
          <w:lang w:val="en-US" w:eastAsia="zh-CN"/>
        </w:rPr>
        <w:t>详见下表</w:t>
      </w:r>
      <w:r>
        <w:rPr>
          <w:rFonts w:hint="eastAsia" w:ascii="仿宋_GB2312" w:hAnsi="Calibri" w:eastAsia="仿宋_GB2312" w:cs="Times New Roman"/>
          <w:b w:val="0"/>
          <w:bCs w:val="0"/>
          <w:color w:val="auto"/>
          <w:sz w:val="32"/>
          <w:szCs w:val="32"/>
          <w:u w:val="none"/>
          <w:lang w:eastAsia="zh-CN"/>
        </w:rPr>
        <w:t>），严格控制加分分值，规范资格审核程序，实行加分项目、分值、资格和名单公示制度，加强监督管理。同一考生如符合多项照顾录取政策，只取加分且分值最高一项。</w:t>
      </w:r>
      <w:r>
        <w:rPr>
          <w:rFonts w:hint="eastAsia" w:ascii="仿宋_GB2312" w:hAnsi="Calibri" w:eastAsia="仿宋_GB2312" w:cs="Times New Roman"/>
          <w:b w:val="0"/>
          <w:bCs w:val="0"/>
          <w:color w:val="auto"/>
          <w:sz w:val="32"/>
          <w:szCs w:val="32"/>
          <w:u w:val="none"/>
          <w:lang w:val="en-US" w:eastAsia="zh-CN"/>
        </w:rPr>
        <w:t>市教育局接收跨部门联审</w:t>
      </w:r>
      <w:r>
        <w:rPr>
          <w:rFonts w:hint="eastAsia" w:ascii="仿宋_GB2312" w:hAnsi="Calibri" w:eastAsia="仿宋_GB2312" w:cs="Times New Roman"/>
          <w:b w:val="0"/>
          <w:bCs w:val="0"/>
          <w:color w:val="auto"/>
          <w:sz w:val="32"/>
          <w:szCs w:val="32"/>
          <w:u w:val="none"/>
          <w:lang w:eastAsia="zh-CN"/>
        </w:rPr>
        <w:t>照顾录取申报材料的截止时间为5月18日，逾期一律不再办理。根据国家现行有关文件规定，下列各类</w:t>
      </w:r>
      <w:r>
        <w:rPr>
          <w:rFonts w:hint="eastAsia" w:ascii="仿宋_GB2312" w:hAnsi="Calibri" w:eastAsia="仿宋_GB2312" w:cs="Times New Roman"/>
          <w:b w:val="0"/>
          <w:bCs w:val="0"/>
          <w:color w:val="auto"/>
          <w:sz w:val="32"/>
          <w:szCs w:val="32"/>
          <w:u w:val="none"/>
          <w:lang w:val="en-US" w:eastAsia="zh-CN"/>
        </w:rPr>
        <w:t>考生</w:t>
      </w:r>
      <w:r>
        <w:rPr>
          <w:rFonts w:hint="eastAsia" w:ascii="仿宋_GB2312" w:hAnsi="Calibri" w:eastAsia="仿宋_GB2312" w:cs="Times New Roman"/>
          <w:b w:val="0"/>
          <w:bCs w:val="0"/>
          <w:color w:val="auto"/>
          <w:sz w:val="32"/>
          <w:szCs w:val="32"/>
          <w:u w:val="none"/>
          <w:lang w:eastAsia="zh-CN"/>
        </w:rPr>
        <w:t>在原总分的基础上，给予加分或优先投档录取。</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4441"/>
        <w:gridCol w:w="4"/>
        <w:gridCol w:w="1382"/>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blHeader/>
        </w:trPr>
        <w:tc>
          <w:tcPr>
            <w:tcW w:w="1387" w:type="dxa"/>
            <w:noWrap w:val="0"/>
            <w:vAlign w:val="center"/>
          </w:tcPr>
          <w:p>
            <w:pPr>
              <w:snapToGrid/>
              <w:spacing w:beforeLines="0" w:afterLines="0" w:line="500" w:lineRule="exact"/>
              <w:jc w:val="center"/>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u w:val="none"/>
                <w:lang w:val="en-US" w:eastAsia="zh-CN"/>
              </w:rPr>
              <w:t>对象</w:t>
            </w:r>
          </w:p>
        </w:tc>
        <w:tc>
          <w:tcPr>
            <w:tcW w:w="4445" w:type="dxa"/>
            <w:gridSpan w:val="2"/>
            <w:noWrap w:val="0"/>
            <w:vAlign w:val="center"/>
          </w:tcPr>
          <w:p>
            <w:pPr>
              <w:snapToGrid/>
              <w:spacing w:beforeLines="0" w:afterLines="0" w:line="500" w:lineRule="exact"/>
              <w:jc w:val="center"/>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u w:val="none"/>
                <w:lang w:val="en-US" w:eastAsia="zh-CN"/>
              </w:rPr>
              <w:t>资格条件</w:t>
            </w:r>
          </w:p>
        </w:tc>
        <w:tc>
          <w:tcPr>
            <w:tcW w:w="1382" w:type="dxa"/>
            <w:noWrap w:val="0"/>
            <w:vAlign w:val="center"/>
          </w:tcPr>
          <w:p>
            <w:pPr>
              <w:snapToGrid/>
              <w:spacing w:beforeLines="0" w:afterLines="0" w:line="500" w:lineRule="exact"/>
              <w:jc w:val="center"/>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4"/>
                <w:szCs w:val="24"/>
                <w:u w:val="none"/>
                <w:lang w:val="en-US" w:eastAsia="zh-CN"/>
              </w:rPr>
              <w:t>录取优待</w:t>
            </w:r>
          </w:p>
        </w:tc>
        <w:tc>
          <w:tcPr>
            <w:tcW w:w="1985" w:type="dxa"/>
            <w:noWrap w:val="0"/>
            <w:vAlign w:val="center"/>
          </w:tcPr>
          <w:p>
            <w:pPr>
              <w:snapToGrid/>
              <w:spacing w:beforeLines="0" w:afterLines="0" w:line="500" w:lineRule="exact"/>
              <w:jc w:val="center"/>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8"/>
                <w:szCs w:val="28"/>
                <w:u w:val="none"/>
                <w:lang w:val="en-US" w:eastAsia="zh-CN"/>
              </w:rPr>
              <w:t>审核方式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trPr>
        <w:tc>
          <w:tcPr>
            <w:tcW w:w="1387" w:type="dxa"/>
            <w:vMerge w:val="restart"/>
            <w:noWrap w:val="0"/>
            <w:vAlign w:val="center"/>
          </w:tcPr>
          <w:p>
            <w:pPr>
              <w:snapToGrid/>
              <w:spacing w:beforeLines="0" w:afterLines="0" w:line="400" w:lineRule="exact"/>
              <w:jc w:val="center"/>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u w:val="none"/>
                <w:lang w:val="en-US" w:eastAsia="zh-CN"/>
              </w:rPr>
              <w:t>现役军人子女</w:t>
            </w:r>
          </w:p>
        </w:tc>
        <w:tc>
          <w:tcPr>
            <w:tcW w:w="4445" w:type="dxa"/>
            <w:gridSpan w:val="2"/>
            <w:noWrap w:val="0"/>
            <w:vAlign w:val="center"/>
          </w:tcPr>
          <w:p>
            <w:pPr>
              <w:snapToGrid/>
              <w:spacing w:beforeLines="0" w:afterLines="0" w:line="400" w:lineRule="exact"/>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1）驻“三类地区”、西藏自治区和“二类岛”以及在“高风险、高危害岗位”连续工作3年以上（含已工作并将连续工作3年以上）现役军人的子女，或者有子女后曾在该地区和岗位累计工作5年以上现役军人的子女，烈士子女</w:t>
            </w:r>
          </w:p>
        </w:tc>
        <w:tc>
          <w:tcPr>
            <w:tcW w:w="1382" w:type="dxa"/>
            <w:noWrap w:val="0"/>
            <w:vAlign w:val="center"/>
          </w:tcPr>
          <w:p>
            <w:pPr>
              <w:snapToGrid/>
              <w:spacing w:beforeLines="0" w:afterLines="0" w:line="400" w:lineRule="exact"/>
              <w:jc w:val="center"/>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加30分</w:t>
            </w:r>
          </w:p>
        </w:tc>
        <w:tc>
          <w:tcPr>
            <w:tcW w:w="1985" w:type="dxa"/>
            <w:vMerge w:val="restart"/>
            <w:noWrap w:val="0"/>
            <w:vAlign w:val="center"/>
          </w:tcPr>
          <w:p>
            <w:pPr>
              <w:snapToGrid/>
              <w:spacing w:beforeLines="0" w:afterLines="0" w:line="240" w:lineRule="auto"/>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eastAsia="zh-CN"/>
              </w:rPr>
              <w:t>须向军人所在师级单位政治</w:t>
            </w:r>
            <w:r>
              <w:rPr>
                <w:rFonts w:hint="eastAsia" w:ascii="仿宋_GB2312" w:hAnsi="仿宋_GB2312" w:eastAsia="仿宋_GB2312" w:cs="仿宋_GB2312"/>
                <w:sz w:val="24"/>
                <w:szCs w:val="24"/>
                <w:u w:val="none"/>
                <w:lang w:val="en-US" w:eastAsia="zh-CN"/>
              </w:rPr>
              <w:t>工作处</w:t>
            </w:r>
            <w:r>
              <w:rPr>
                <w:rFonts w:hint="eastAsia" w:ascii="仿宋_GB2312" w:hAnsi="仿宋_GB2312" w:eastAsia="仿宋_GB2312" w:cs="仿宋_GB2312"/>
                <w:sz w:val="24"/>
                <w:szCs w:val="24"/>
                <w:u w:val="none"/>
                <w:lang w:eastAsia="zh-CN"/>
              </w:rPr>
              <w:t>提出书面申请，</w:t>
            </w:r>
            <w:r>
              <w:rPr>
                <w:rFonts w:hint="eastAsia" w:ascii="仿宋_GB2312" w:hAnsi="仿宋_GB2312" w:eastAsia="仿宋_GB2312" w:cs="仿宋_GB2312"/>
                <w:sz w:val="24"/>
                <w:szCs w:val="24"/>
                <w:u w:val="none"/>
                <w:lang w:val="en-US" w:eastAsia="zh-CN"/>
              </w:rPr>
              <w:t>由</w:t>
            </w:r>
            <w:r>
              <w:rPr>
                <w:rFonts w:hint="eastAsia" w:ascii="仿宋_GB2312" w:hAnsi="仿宋_GB2312" w:eastAsia="仿宋_GB2312" w:cs="仿宋_GB2312"/>
                <w:sz w:val="24"/>
                <w:szCs w:val="24"/>
                <w:u w:val="none"/>
                <w:lang w:eastAsia="zh-CN"/>
              </w:rPr>
              <w:t>佛山军分区</w:t>
            </w:r>
            <w:r>
              <w:rPr>
                <w:rFonts w:hint="eastAsia" w:ascii="仿宋_GB2312" w:hAnsi="仿宋_GB2312" w:eastAsia="仿宋_GB2312" w:cs="仿宋_GB2312"/>
                <w:sz w:val="24"/>
                <w:szCs w:val="24"/>
                <w:u w:val="none"/>
                <w:lang w:val="en-US" w:eastAsia="zh-CN"/>
              </w:rPr>
              <w:t>、</w:t>
            </w:r>
            <w:r>
              <w:rPr>
                <w:rFonts w:hint="eastAsia" w:ascii="仿宋_GB2312" w:hAnsi="仿宋_GB2312" w:eastAsia="仿宋_GB2312" w:cs="仿宋_GB2312"/>
                <w:sz w:val="24"/>
                <w:szCs w:val="24"/>
                <w:u w:val="none"/>
                <w:lang w:eastAsia="zh-CN"/>
              </w:rPr>
              <w:t>市教育局</w:t>
            </w:r>
            <w:r>
              <w:rPr>
                <w:rFonts w:hint="eastAsia" w:ascii="仿宋_GB2312" w:hAnsi="仿宋_GB2312" w:eastAsia="仿宋_GB2312" w:cs="仿宋_GB2312"/>
                <w:sz w:val="24"/>
                <w:szCs w:val="24"/>
                <w:u w:val="none"/>
                <w:lang w:val="en-US" w:eastAsia="zh-CN"/>
              </w:rPr>
              <w:t>根据上级文件</w:t>
            </w:r>
            <w:r>
              <w:rPr>
                <w:rFonts w:hint="eastAsia" w:ascii="仿宋_GB2312" w:hAnsi="仿宋_GB2312" w:eastAsia="仿宋_GB2312" w:cs="仿宋_GB2312"/>
                <w:sz w:val="24"/>
                <w:szCs w:val="24"/>
                <w:u w:val="none"/>
                <w:lang w:eastAsia="zh-CN"/>
              </w:rPr>
              <w:t>联合审核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trPr>
        <w:tc>
          <w:tcPr>
            <w:tcW w:w="1387" w:type="dxa"/>
            <w:vMerge w:val="continue"/>
            <w:noWrap w:val="0"/>
            <w:vAlign w:val="center"/>
          </w:tcPr>
          <w:p>
            <w:pPr>
              <w:snapToGrid/>
              <w:spacing w:beforeLines="0" w:afterLines="0" w:line="400" w:lineRule="exact"/>
              <w:jc w:val="center"/>
              <w:rPr>
                <w:rFonts w:hint="eastAsia" w:ascii="仿宋_GB2312" w:hAnsi="仿宋_GB2312" w:eastAsia="仿宋_GB2312" w:cs="仿宋_GB2312"/>
                <w:sz w:val="28"/>
                <w:szCs w:val="28"/>
                <w:u w:val="none"/>
                <w:lang w:val="en-US" w:eastAsia="zh-CN"/>
              </w:rPr>
            </w:pPr>
          </w:p>
        </w:tc>
        <w:tc>
          <w:tcPr>
            <w:tcW w:w="4445" w:type="dxa"/>
            <w:gridSpan w:val="2"/>
            <w:noWrap w:val="0"/>
            <w:vAlign w:val="center"/>
          </w:tcPr>
          <w:p>
            <w:pPr>
              <w:snapToGrid/>
              <w:spacing w:beforeLines="0" w:afterLines="0" w:line="400" w:lineRule="exact"/>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2）作战部队、驻“二类地区”和“第三类岛”连续工作3年以上（含已工作并将连续工作3年以上）现役军人的子女，或者有子女后曾在该地区和岗位累计工作5年以上现役军人的子女，“因公牺牲军人”及“残疾军人”的子女，以及“受到表彰奖励”现役军人的子女</w:t>
            </w:r>
          </w:p>
        </w:tc>
        <w:tc>
          <w:tcPr>
            <w:tcW w:w="1382" w:type="dxa"/>
            <w:noWrap w:val="0"/>
            <w:vAlign w:val="center"/>
          </w:tcPr>
          <w:p>
            <w:pPr>
              <w:snapToGrid/>
              <w:spacing w:beforeLines="0" w:afterLines="0" w:line="400" w:lineRule="exact"/>
              <w:jc w:val="center"/>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加20分</w:t>
            </w:r>
          </w:p>
        </w:tc>
        <w:tc>
          <w:tcPr>
            <w:tcW w:w="1985" w:type="dxa"/>
            <w:vMerge w:val="continue"/>
            <w:noWrap w:val="0"/>
            <w:vAlign w:val="center"/>
          </w:tcPr>
          <w:p>
            <w:pPr>
              <w:snapToGrid/>
              <w:spacing w:beforeLines="0" w:afterLines="0" w:line="500" w:lineRule="exact"/>
              <w:jc w:val="left"/>
              <w:rPr>
                <w:rFonts w:hint="eastAsia" w:ascii="仿宋_GB2312" w:hAnsi="仿宋_GB2312" w:eastAsia="仿宋_GB2312" w:cs="仿宋_GB2312"/>
                <w:sz w:val="24"/>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87" w:type="dxa"/>
            <w:vMerge w:val="continue"/>
            <w:noWrap w:val="0"/>
            <w:vAlign w:val="center"/>
          </w:tcPr>
          <w:p>
            <w:pPr>
              <w:snapToGrid/>
              <w:spacing w:beforeLines="0" w:afterLines="0" w:line="400" w:lineRule="exact"/>
              <w:jc w:val="center"/>
              <w:rPr>
                <w:rFonts w:hint="eastAsia" w:ascii="仿宋_GB2312" w:hAnsi="仿宋_GB2312" w:eastAsia="仿宋_GB2312" w:cs="仿宋_GB2312"/>
                <w:sz w:val="28"/>
                <w:szCs w:val="28"/>
                <w:u w:val="none"/>
                <w:lang w:val="en-US" w:eastAsia="zh-CN"/>
              </w:rPr>
            </w:pPr>
          </w:p>
        </w:tc>
        <w:tc>
          <w:tcPr>
            <w:tcW w:w="4445" w:type="dxa"/>
            <w:gridSpan w:val="2"/>
            <w:noWrap w:val="0"/>
            <w:vAlign w:val="center"/>
          </w:tcPr>
          <w:p>
            <w:pPr>
              <w:snapToGrid/>
              <w:spacing w:beforeLines="0" w:afterLines="0" w:line="400" w:lineRule="exact"/>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（3）平时荣获三等功现役军人子女</w:t>
            </w:r>
          </w:p>
        </w:tc>
        <w:tc>
          <w:tcPr>
            <w:tcW w:w="1382" w:type="dxa"/>
            <w:noWrap w:val="0"/>
            <w:vAlign w:val="center"/>
          </w:tcPr>
          <w:p>
            <w:pPr>
              <w:snapToGrid/>
              <w:spacing w:beforeLines="0" w:afterLines="0" w:line="400" w:lineRule="exact"/>
              <w:jc w:val="center"/>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优先录取</w:t>
            </w:r>
          </w:p>
        </w:tc>
        <w:tc>
          <w:tcPr>
            <w:tcW w:w="1985" w:type="dxa"/>
            <w:vMerge w:val="continue"/>
            <w:noWrap w:val="0"/>
            <w:vAlign w:val="center"/>
          </w:tcPr>
          <w:p>
            <w:pPr>
              <w:snapToGrid/>
              <w:spacing w:beforeLines="0" w:afterLines="0" w:line="500" w:lineRule="exact"/>
              <w:jc w:val="left"/>
              <w:rPr>
                <w:rFonts w:hint="eastAsia" w:ascii="仿宋_GB2312" w:hAnsi="仿宋_GB2312" w:eastAsia="仿宋_GB2312" w:cs="仿宋_GB2312"/>
                <w:sz w:val="24"/>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1387" w:type="dxa"/>
            <w:noWrap w:val="0"/>
            <w:vAlign w:val="center"/>
          </w:tcPr>
          <w:p>
            <w:pPr>
              <w:snapToGrid/>
              <w:spacing w:beforeLines="0" w:afterLines="0" w:line="400" w:lineRule="exact"/>
              <w:jc w:val="center"/>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u w:val="none"/>
                <w:lang w:val="en-US" w:eastAsia="zh-CN"/>
              </w:rPr>
              <w:t>在职消防救援人员子女</w:t>
            </w:r>
          </w:p>
        </w:tc>
        <w:tc>
          <w:tcPr>
            <w:tcW w:w="5827" w:type="dxa"/>
            <w:gridSpan w:val="3"/>
            <w:noWrap w:val="0"/>
            <w:vAlign w:val="center"/>
          </w:tcPr>
          <w:p>
            <w:pPr>
              <w:snapToGrid/>
              <w:spacing w:beforeLines="0" w:afterLines="0" w:line="400" w:lineRule="exact"/>
              <w:jc w:val="both"/>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参照现役军人子女政策执行</w:t>
            </w:r>
          </w:p>
        </w:tc>
        <w:tc>
          <w:tcPr>
            <w:tcW w:w="1985" w:type="dxa"/>
            <w:noWrap w:val="0"/>
            <w:vAlign w:val="center"/>
          </w:tcPr>
          <w:p>
            <w:pPr>
              <w:snapToGrid/>
              <w:spacing w:beforeLines="0" w:afterLines="0" w:line="240" w:lineRule="auto"/>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须向</w:t>
            </w:r>
            <w:r>
              <w:rPr>
                <w:rFonts w:hint="eastAsia" w:ascii="仿宋_GB2312" w:hAnsi="仿宋_GB2312" w:eastAsia="仿宋_GB2312" w:cs="仿宋_GB2312"/>
                <w:sz w:val="24"/>
                <w:szCs w:val="24"/>
                <w:u w:val="none"/>
                <w:lang w:eastAsia="zh-CN"/>
              </w:rPr>
              <w:t>市消防救援支队</w:t>
            </w:r>
            <w:r>
              <w:rPr>
                <w:rFonts w:hint="eastAsia" w:ascii="仿宋_GB2312" w:hAnsi="仿宋_GB2312" w:eastAsia="仿宋_GB2312" w:cs="仿宋_GB2312"/>
                <w:sz w:val="24"/>
                <w:szCs w:val="24"/>
                <w:u w:val="none"/>
                <w:lang w:val="en-US" w:eastAsia="zh-CN"/>
              </w:rPr>
              <w:t>提出书面申请，市消防救援支队、</w:t>
            </w:r>
            <w:r>
              <w:rPr>
                <w:rFonts w:hint="eastAsia" w:ascii="仿宋_GB2312" w:hAnsi="仿宋_GB2312" w:eastAsia="仿宋_GB2312" w:cs="仿宋_GB2312"/>
                <w:sz w:val="24"/>
                <w:szCs w:val="24"/>
                <w:u w:val="none"/>
                <w:lang w:eastAsia="zh-CN"/>
              </w:rPr>
              <w:t>市应急管理局</w:t>
            </w:r>
            <w:r>
              <w:rPr>
                <w:rFonts w:hint="eastAsia" w:ascii="仿宋_GB2312" w:hAnsi="仿宋_GB2312" w:eastAsia="仿宋_GB2312" w:cs="仿宋_GB2312"/>
                <w:sz w:val="24"/>
                <w:szCs w:val="24"/>
                <w:u w:val="none"/>
                <w:lang w:val="en-US" w:eastAsia="zh-CN"/>
              </w:rPr>
              <w:t>和</w:t>
            </w:r>
            <w:r>
              <w:rPr>
                <w:rFonts w:hint="eastAsia" w:ascii="仿宋_GB2312" w:hAnsi="仿宋_GB2312" w:eastAsia="仿宋_GB2312" w:cs="仿宋_GB2312"/>
                <w:sz w:val="24"/>
                <w:szCs w:val="24"/>
                <w:u w:val="none"/>
                <w:lang w:eastAsia="zh-CN"/>
              </w:rPr>
              <w:t>市教育局根据上级文件联合审核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387" w:type="dxa"/>
            <w:vMerge w:val="restart"/>
            <w:noWrap w:val="0"/>
            <w:vAlign w:val="center"/>
          </w:tcPr>
          <w:p>
            <w:pPr>
              <w:snapToGrid/>
              <w:spacing w:beforeLines="0" w:afterLines="0" w:line="400" w:lineRule="exact"/>
              <w:jc w:val="center"/>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u w:val="none"/>
                <w:lang w:val="en-US" w:eastAsia="zh-CN"/>
              </w:rPr>
              <w:t>公安民警（含司法行政机关人民警察）子女</w:t>
            </w:r>
          </w:p>
        </w:tc>
        <w:tc>
          <w:tcPr>
            <w:tcW w:w="4441" w:type="dxa"/>
            <w:noWrap w:val="0"/>
            <w:vAlign w:val="center"/>
          </w:tcPr>
          <w:p>
            <w:pPr>
              <w:snapToGrid/>
              <w:spacing w:beforeLines="0" w:afterLines="0" w:line="400" w:lineRule="exact"/>
              <w:jc w:val="both"/>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（1）公安烈士子女</w:t>
            </w:r>
          </w:p>
        </w:tc>
        <w:tc>
          <w:tcPr>
            <w:tcW w:w="1386" w:type="dxa"/>
            <w:gridSpan w:val="2"/>
            <w:noWrap w:val="0"/>
            <w:vAlign w:val="center"/>
          </w:tcPr>
          <w:p>
            <w:pPr>
              <w:snapToGrid/>
              <w:spacing w:beforeLines="0" w:afterLines="0" w:line="400" w:lineRule="exact"/>
              <w:jc w:val="center"/>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加20分</w:t>
            </w:r>
          </w:p>
        </w:tc>
        <w:tc>
          <w:tcPr>
            <w:tcW w:w="1985" w:type="dxa"/>
            <w:vMerge w:val="restart"/>
            <w:noWrap w:val="0"/>
            <w:vAlign w:val="center"/>
          </w:tcPr>
          <w:p>
            <w:pPr>
              <w:snapToGrid/>
              <w:spacing w:beforeLines="0" w:afterLines="0" w:line="240" w:lineRule="auto"/>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须向市公安局政治处、相关司法行政机关提出书面申请，市教育局根据上级文件联合审核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1387" w:type="dxa"/>
            <w:vMerge w:val="continue"/>
            <w:noWrap w:val="0"/>
            <w:vAlign w:val="center"/>
          </w:tcPr>
          <w:p>
            <w:pPr>
              <w:snapToGrid/>
              <w:spacing w:beforeLines="0" w:afterLines="0" w:line="500" w:lineRule="exact"/>
              <w:jc w:val="left"/>
              <w:rPr>
                <w:rFonts w:hint="eastAsia" w:ascii="仿宋_GB2312" w:hAnsi="仿宋_GB2312" w:eastAsia="仿宋_GB2312" w:cs="仿宋_GB2312"/>
                <w:sz w:val="28"/>
                <w:szCs w:val="28"/>
                <w:u w:val="none"/>
                <w:lang w:val="en-US" w:eastAsia="zh-CN"/>
              </w:rPr>
            </w:pPr>
          </w:p>
        </w:tc>
        <w:tc>
          <w:tcPr>
            <w:tcW w:w="4441" w:type="dxa"/>
            <w:noWrap w:val="0"/>
            <w:vAlign w:val="center"/>
          </w:tcPr>
          <w:p>
            <w:pPr>
              <w:snapToGrid/>
              <w:spacing w:beforeLines="0" w:afterLines="0" w:line="400" w:lineRule="exact"/>
              <w:jc w:val="left"/>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（2）公安英模、因公牺牲人民警察子女、一级至四级因公伤残人民警察子女考生</w:t>
            </w:r>
          </w:p>
        </w:tc>
        <w:tc>
          <w:tcPr>
            <w:tcW w:w="1386" w:type="dxa"/>
            <w:gridSpan w:val="2"/>
            <w:noWrap w:val="0"/>
            <w:vAlign w:val="center"/>
          </w:tcPr>
          <w:p>
            <w:pPr>
              <w:snapToGrid/>
              <w:spacing w:beforeLines="0" w:afterLines="0" w:line="400" w:lineRule="exact"/>
              <w:jc w:val="center"/>
              <w:rPr>
                <w:rFonts w:hint="eastAsia" w:ascii="仿宋_GB2312" w:hAnsi="仿宋_GB2312" w:eastAsia="仿宋_GB2312" w:cs="仿宋_GB2312"/>
                <w:sz w:val="24"/>
                <w:szCs w:val="24"/>
                <w:u w:val="none"/>
                <w:lang w:val="en-US" w:eastAsia="zh-CN"/>
              </w:rPr>
            </w:pPr>
            <w:r>
              <w:rPr>
                <w:rFonts w:hint="eastAsia" w:ascii="仿宋_GB2312" w:hAnsi="仿宋_GB2312" w:eastAsia="仿宋_GB2312" w:cs="仿宋_GB2312"/>
                <w:sz w:val="24"/>
                <w:szCs w:val="24"/>
                <w:u w:val="none"/>
                <w:lang w:val="en-US" w:eastAsia="zh-CN"/>
              </w:rPr>
              <w:t>加10分</w:t>
            </w:r>
          </w:p>
        </w:tc>
        <w:tc>
          <w:tcPr>
            <w:tcW w:w="1985" w:type="dxa"/>
            <w:vMerge w:val="continue"/>
            <w:noWrap w:val="0"/>
            <w:vAlign w:val="center"/>
          </w:tcPr>
          <w:p>
            <w:pPr>
              <w:snapToGrid/>
              <w:spacing w:beforeLines="0" w:afterLines="0" w:line="500" w:lineRule="exact"/>
              <w:jc w:val="left"/>
              <w:rPr>
                <w:rFonts w:hint="eastAsia" w:ascii="仿宋_GB2312" w:hAnsi="仿宋_GB2312" w:eastAsia="仿宋_GB2312" w:cs="仿宋_GB2312"/>
                <w:sz w:val="24"/>
                <w:szCs w:val="24"/>
                <w:u w:val="none"/>
                <w:lang w:val="en-US" w:eastAsia="zh-CN"/>
              </w:rPr>
            </w:pPr>
          </w:p>
        </w:tc>
      </w:tr>
    </w:tbl>
    <w:p>
      <w:pPr>
        <w:snapToGrid/>
        <w:spacing w:line="560" w:lineRule="exact"/>
        <w:ind w:firstLine="420" w:firstLineChars="200"/>
        <w:jc w:val="left"/>
      </w:pPr>
    </w:p>
    <w:p>
      <w:pPr>
        <w:rPr>
          <w:rFonts w:hint="eastAsia" w:ascii="仿宋_GB2312" w:hAnsi="Calibri" w:eastAsia="仿宋_GB2312" w:cs="Times New Roman"/>
          <w:b w:val="0"/>
          <w:bCs w:val="0"/>
          <w:color w:val="auto"/>
          <w:szCs w:val="21"/>
          <w:u w:val="none"/>
        </w:rPr>
      </w:pPr>
    </w:p>
    <w:p>
      <w:pPr>
        <w:rPr>
          <w:rFonts w:hint="eastAsia" w:ascii="仿宋_GB2312" w:hAnsi="Calibri" w:eastAsia="仿宋_GB2312" w:cs="Times New Roman"/>
          <w:b w:val="0"/>
          <w:bCs w:val="0"/>
          <w:color w:val="auto"/>
          <w:szCs w:val="21"/>
          <w:u w:val="none"/>
        </w:rPr>
      </w:pPr>
    </w:p>
    <w:p>
      <w:pPr>
        <w:rPr>
          <w:rFonts w:hint="eastAsia" w:ascii="仿宋_GB2312" w:hAnsi="Calibri" w:eastAsia="仿宋_GB2312" w:cs="Times New Roman"/>
          <w:b w:val="0"/>
          <w:bCs w:val="0"/>
          <w:color w:val="auto"/>
          <w:szCs w:val="21"/>
          <w:u w:val="none"/>
        </w:rPr>
      </w:pPr>
    </w:p>
    <w:p>
      <w:pPr>
        <w:rPr>
          <w:rFonts w:hint="eastAsia" w:ascii="仿宋_GB2312" w:hAnsi="Calibri" w:eastAsia="仿宋_GB2312" w:cs="Times New Roman"/>
          <w:b w:val="0"/>
          <w:bCs w:val="0"/>
          <w:color w:val="auto"/>
          <w:szCs w:val="21"/>
          <w:u w:val="none"/>
        </w:rPr>
      </w:pPr>
    </w:p>
    <w:p>
      <w:pPr>
        <w:rPr>
          <w:rFonts w:hint="eastAsia" w:ascii="仿宋_GB2312" w:hAnsi="Calibri" w:eastAsia="仿宋_GB2312" w:cs="Times New Roman"/>
          <w:b w:val="0"/>
          <w:bCs w:val="0"/>
          <w:color w:val="auto"/>
          <w:szCs w:val="21"/>
          <w:u w:val="none"/>
        </w:rPr>
      </w:pPr>
    </w:p>
    <w:p>
      <w:pPr>
        <w:snapToGrid w:val="0"/>
        <w:spacing w:line="520" w:lineRule="exact"/>
        <w:jc w:val="left"/>
        <w:rPr>
          <w:rFonts w:hint="eastAsia" w:ascii="黑体" w:hAnsi="黑体" w:eastAsia="黑体" w:cs="Times New Roman"/>
          <w:b w:val="0"/>
          <w:bCs w:val="0"/>
          <w:color w:val="auto"/>
          <w:sz w:val="32"/>
          <w:u w:val="none"/>
          <w:lang w:eastAsia="zh-CN"/>
        </w:rPr>
      </w:pPr>
    </w:p>
    <w:p>
      <w:pPr>
        <w:snapToGrid w:val="0"/>
        <w:spacing w:line="520" w:lineRule="exact"/>
        <w:jc w:val="left"/>
        <w:rPr>
          <w:rFonts w:hint="eastAsia" w:ascii="黑体" w:hAnsi="黑体" w:eastAsia="黑体" w:cs="Times New Roman"/>
          <w:b w:val="0"/>
          <w:bCs w:val="0"/>
          <w:color w:val="auto"/>
          <w:sz w:val="32"/>
          <w:u w:val="none"/>
          <w:lang w:eastAsia="zh-CN"/>
        </w:rPr>
      </w:pPr>
    </w:p>
    <w:p>
      <w:pPr>
        <w:snapToGrid w:val="0"/>
        <w:spacing w:line="520" w:lineRule="exact"/>
        <w:jc w:val="left"/>
        <w:rPr>
          <w:rFonts w:hint="eastAsia" w:ascii="黑体" w:hAnsi="黑体" w:eastAsia="黑体" w:cs="Times New Roman"/>
          <w:b w:val="0"/>
          <w:bCs w:val="0"/>
          <w:color w:val="auto"/>
          <w:sz w:val="32"/>
          <w:u w:val="none"/>
          <w:lang w:eastAsia="zh-CN"/>
        </w:rPr>
      </w:pPr>
    </w:p>
    <w:p>
      <w:pPr>
        <w:snapToGrid w:val="0"/>
        <w:spacing w:line="520" w:lineRule="exact"/>
        <w:jc w:val="left"/>
        <w:rPr>
          <w:rFonts w:hint="eastAsia" w:ascii="黑体" w:hAnsi="黑体" w:eastAsia="黑体" w:cs="Times New Roman"/>
          <w:b w:val="0"/>
          <w:bCs w:val="0"/>
          <w:color w:val="auto"/>
          <w:sz w:val="32"/>
          <w:u w:val="none"/>
          <w:lang w:eastAsia="zh-CN"/>
        </w:rPr>
      </w:pPr>
    </w:p>
    <w:p>
      <w:pPr>
        <w:snapToGrid/>
        <w:spacing w:line="240" w:lineRule="auto"/>
        <w:jc w:val="left"/>
        <w:rPr>
          <w:rFonts w:hint="eastAsia" w:ascii="黑体" w:hAnsi="黑体" w:eastAsia="黑体" w:cs="Times New Roman"/>
          <w:b w:val="0"/>
          <w:bCs w:val="0"/>
          <w:color w:val="auto"/>
          <w:sz w:val="32"/>
          <w:u w:val="none"/>
          <w:lang w:eastAsia="zh-CN"/>
        </w:rPr>
      </w:pPr>
      <w:r>
        <w:rPr>
          <w:rFonts w:hint="eastAsia" w:ascii="黑体" w:hAnsi="黑体" w:eastAsia="黑体" w:cs="Times New Roman"/>
          <w:b w:val="0"/>
          <w:bCs w:val="0"/>
          <w:color w:val="auto"/>
          <w:sz w:val="32"/>
          <w:u w:val="none"/>
          <w:lang w:eastAsia="zh-CN"/>
        </w:rPr>
        <w:br w:type="page"/>
      </w:r>
    </w:p>
    <w:p>
      <w:pPr>
        <w:snapToGrid w:val="0"/>
        <w:spacing w:line="520" w:lineRule="exact"/>
        <w:jc w:val="left"/>
        <w:rPr>
          <w:rFonts w:hint="default" w:ascii="黑体" w:hAnsi="黑体" w:eastAsia="黑体" w:cs="Times New Roman"/>
          <w:b w:val="0"/>
          <w:bCs w:val="0"/>
          <w:color w:val="auto"/>
          <w:sz w:val="32"/>
          <w:u w:val="none"/>
        </w:rPr>
      </w:pPr>
      <w:r>
        <w:rPr>
          <w:rFonts w:hint="eastAsia" w:ascii="黑体" w:hAnsi="黑体" w:eastAsia="黑体" w:cs="Times New Roman"/>
          <w:b w:val="0"/>
          <w:bCs w:val="0"/>
          <w:color w:val="auto"/>
          <w:sz w:val="32"/>
          <w:u w:val="none"/>
          <w:lang w:eastAsia="zh-CN"/>
        </w:rPr>
        <w:t>附件</w:t>
      </w:r>
      <w:r>
        <w:rPr>
          <w:rFonts w:hint="eastAsia" w:ascii="黑体" w:hAnsi="黑体" w:eastAsia="黑体" w:cs="Times New Roman"/>
          <w:b w:val="0"/>
          <w:bCs w:val="0"/>
          <w:color w:val="auto"/>
          <w:sz w:val="32"/>
          <w:u w:val="none"/>
          <w:lang w:val="en-US" w:eastAsia="zh-CN"/>
        </w:rPr>
        <w:t>3</w:t>
      </w:r>
    </w:p>
    <w:p>
      <w:pPr>
        <w:snapToGrid w:val="0"/>
        <w:spacing w:line="520" w:lineRule="exact"/>
        <w:jc w:val="both"/>
        <w:rPr>
          <w:rFonts w:hint="eastAsia" w:ascii="仿宋_GB2312" w:hAnsi="Calibri" w:eastAsia="仿宋_GB2312" w:cs="Times New Roman"/>
          <w:b w:val="0"/>
          <w:bCs w:val="0"/>
          <w:color w:val="auto"/>
          <w:sz w:val="32"/>
          <w:u w:val="none"/>
        </w:rPr>
      </w:pPr>
    </w:p>
    <w:p>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佛山市</w:t>
      </w:r>
      <w:r>
        <w:rPr>
          <w:rFonts w:hint="eastAsia" w:ascii="方正小标宋简体" w:eastAsia="方正小标宋简体"/>
          <w:sz w:val="44"/>
          <w:szCs w:val="44"/>
          <w:lang w:eastAsia="zh-CN"/>
        </w:rPr>
        <w:t>202</w:t>
      </w:r>
      <w:r>
        <w:rPr>
          <w:rFonts w:hint="eastAsia" w:ascii="方正小标宋简体" w:eastAsia="方正小标宋简体"/>
          <w:sz w:val="44"/>
          <w:szCs w:val="44"/>
          <w:lang w:val="en-US" w:eastAsia="zh-CN"/>
        </w:rPr>
        <w:t>5</w:t>
      </w:r>
      <w:r>
        <w:rPr>
          <w:rFonts w:hint="eastAsia" w:ascii="方正小标宋简体" w:eastAsia="方正小标宋简体"/>
          <w:sz w:val="44"/>
          <w:szCs w:val="44"/>
        </w:rPr>
        <w:t>年高中阶段学校招生</w:t>
      </w:r>
    </w:p>
    <w:p>
      <w:pPr>
        <w:spacing w:line="660" w:lineRule="exact"/>
        <w:jc w:val="center"/>
        <w:rPr>
          <w:rFonts w:hint="eastAsia" w:ascii="方正小标宋简体" w:hAnsi="方正小标宋简体" w:eastAsia="方正小标宋简体" w:cs="Times New Roman"/>
          <w:b w:val="0"/>
          <w:bCs w:val="0"/>
          <w:color w:val="auto"/>
          <w:sz w:val="44"/>
          <w:szCs w:val="32"/>
          <w:u w:val="none"/>
          <w:lang w:val="en-US" w:eastAsia="zh-CN"/>
        </w:rPr>
      </w:pPr>
      <w:r>
        <w:rPr>
          <w:rFonts w:hint="eastAsia" w:ascii="方正小标宋简体" w:hAnsi="方正小标宋简体" w:eastAsia="方正小标宋简体" w:cs="Times New Roman"/>
          <w:b w:val="0"/>
          <w:bCs w:val="0"/>
          <w:color w:val="auto"/>
          <w:sz w:val="44"/>
          <w:szCs w:val="32"/>
          <w:u w:val="none"/>
        </w:rPr>
        <w:t>工作日程安排</w:t>
      </w:r>
      <w:r>
        <w:rPr>
          <w:rFonts w:hint="eastAsia" w:ascii="方正小标宋简体" w:hAnsi="方正小标宋简体" w:eastAsia="方正小标宋简体" w:cs="Times New Roman"/>
          <w:b w:val="0"/>
          <w:bCs w:val="0"/>
          <w:color w:val="auto"/>
          <w:sz w:val="44"/>
          <w:szCs w:val="32"/>
          <w:u w:val="none"/>
          <w:lang w:val="en-US" w:eastAsia="zh-CN"/>
        </w:rPr>
        <w:t>表</w:t>
      </w:r>
    </w:p>
    <w:p>
      <w:pPr>
        <w:snapToGrid w:val="0"/>
        <w:spacing w:line="520" w:lineRule="exact"/>
        <w:jc w:val="right"/>
        <w:rPr>
          <w:rFonts w:hint="eastAsia" w:ascii="仿宋_GB2312" w:hAnsi="Calibri" w:eastAsia="仿宋_GB2312" w:cs="Times New Roman"/>
          <w:b w:val="0"/>
          <w:bCs w:val="0"/>
          <w:color w:val="auto"/>
          <w:sz w:val="32"/>
          <w:u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1"/>
        <w:gridCol w:w="5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621" w:type="dxa"/>
            <w:noWrap w:val="0"/>
            <w:vAlign w:val="center"/>
          </w:tcPr>
          <w:p>
            <w:pPr>
              <w:spacing w:line="520" w:lineRule="exact"/>
              <w:jc w:val="center"/>
              <w:rPr>
                <w:rFonts w:hint="eastAsia" w:ascii="宋体" w:hAnsi="Calibri" w:eastAsia="宋体" w:cs="Times New Roman"/>
                <w:b/>
                <w:bCs/>
                <w:color w:val="auto"/>
                <w:sz w:val="32"/>
                <w:szCs w:val="32"/>
                <w:u w:val="none"/>
              </w:rPr>
            </w:pPr>
            <w:r>
              <w:rPr>
                <w:rFonts w:hint="eastAsia" w:ascii="宋体" w:hAnsi="Calibri" w:eastAsia="宋体" w:cs="Times New Roman"/>
                <w:b/>
                <w:bCs/>
                <w:color w:val="auto"/>
                <w:sz w:val="32"/>
                <w:szCs w:val="32"/>
                <w:u w:val="none"/>
              </w:rPr>
              <w:t>日   期</w:t>
            </w:r>
          </w:p>
        </w:tc>
        <w:tc>
          <w:tcPr>
            <w:tcW w:w="5018" w:type="dxa"/>
            <w:noWrap w:val="0"/>
            <w:vAlign w:val="center"/>
          </w:tcPr>
          <w:p>
            <w:pPr>
              <w:spacing w:line="520" w:lineRule="exact"/>
              <w:jc w:val="center"/>
              <w:rPr>
                <w:rFonts w:hint="eastAsia" w:ascii="宋体" w:hAnsi="Calibri" w:eastAsia="宋体" w:cs="Times New Roman"/>
                <w:b/>
                <w:bCs/>
                <w:color w:val="auto"/>
                <w:sz w:val="32"/>
                <w:szCs w:val="32"/>
                <w:u w:val="none"/>
              </w:rPr>
            </w:pPr>
            <w:r>
              <w:rPr>
                <w:rFonts w:hint="eastAsia" w:ascii="宋体" w:hAnsi="Calibri" w:eastAsia="宋体" w:cs="Times New Roman"/>
                <w:b/>
                <w:bCs/>
                <w:color w:val="auto"/>
                <w:sz w:val="32"/>
                <w:szCs w:val="32"/>
                <w:u w:val="none"/>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621" w:type="dxa"/>
            <w:noWrap w:val="0"/>
            <w:vAlign w:val="center"/>
          </w:tcPr>
          <w:p>
            <w:pPr>
              <w:spacing w:line="520" w:lineRule="exact"/>
              <w:jc w:val="center"/>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3月1</w:t>
            </w:r>
            <w:r>
              <w:rPr>
                <w:rFonts w:hint="eastAsia" w:ascii="仿宋_GB2312" w:hAnsi="Calibri" w:eastAsia="仿宋_GB2312" w:cs="Times New Roman"/>
                <w:b w:val="0"/>
                <w:bCs w:val="0"/>
                <w:color w:val="auto"/>
                <w:sz w:val="32"/>
                <w:szCs w:val="32"/>
                <w:u w:val="none"/>
                <w:lang w:val="en-US" w:eastAsia="zh-CN"/>
              </w:rPr>
              <w:t>7</w:t>
            </w:r>
            <w:r>
              <w:rPr>
                <w:rFonts w:hint="eastAsia" w:ascii="仿宋_GB2312" w:hAnsi="Calibri" w:eastAsia="仿宋_GB2312" w:cs="Times New Roman"/>
                <w:b w:val="0"/>
                <w:bCs w:val="0"/>
                <w:color w:val="auto"/>
                <w:sz w:val="32"/>
                <w:szCs w:val="32"/>
                <w:u w:val="none"/>
              </w:rPr>
              <w:t>日</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3月2</w:t>
            </w:r>
            <w:r>
              <w:rPr>
                <w:rFonts w:hint="eastAsia" w:ascii="仿宋_GB2312" w:hAnsi="Calibri" w:eastAsia="仿宋_GB2312" w:cs="Times New Roman"/>
                <w:b w:val="0"/>
                <w:bCs w:val="0"/>
                <w:color w:val="auto"/>
                <w:sz w:val="32"/>
                <w:szCs w:val="32"/>
                <w:u w:val="none"/>
                <w:lang w:val="en-US" w:eastAsia="zh-CN"/>
              </w:rPr>
              <w:t>7</w:t>
            </w:r>
            <w:r>
              <w:rPr>
                <w:rFonts w:hint="eastAsia" w:ascii="仿宋_GB2312" w:hAnsi="Calibri" w:eastAsia="仿宋_GB2312" w:cs="Times New Roman"/>
                <w:b w:val="0"/>
                <w:bCs w:val="0"/>
                <w:color w:val="auto"/>
                <w:sz w:val="32"/>
                <w:szCs w:val="32"/>
                <w:u w:val="none"/>
              </w:rPr>
              <w:t>日</w:t>
            </w:r>
          </w:p>
        </w:tc>
        <w:tc>
          <w:tcPr>
            <w:tcW w:w="5018" w:type="dxa"/>
            <w:noWrap w:val="0"/>
            <w:vAlign w:val="center"/>
          </w:tcPr>
          <w:p>
            <w:pPr>
              <w:spacing w:line="520" w:lineRule="exact"/>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网上报名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621" w:type="dxa"/>
            <w:noWrap w:val="0"/>
            <w:vAlign w:val="center"/>
          </w:tcPr>
          <w:p>
            <w:pPr>
              <w:spacing w:line="520" w:lineRule="exact"/>
              <w:jc w:val="center"/>
              <w:rPr>
                <w:rFonts w:hint="eastAsia" w:ascii="仿宋_GB2312" w:hAnsi="Calibri" w:eastAsia="仿宋_GB2312" w:cs="Times New Roman"/>
                <w:b w:val="0"/>
                <w:bCs w:val="0"/>
                <w:color w:val="auto"/>
                <w:sz w:val="32"/>
                <w:szCs w:val="30"/>
                <w:u w:val="none"/>
              </w:rPr>
            </w:pPr>
            <w:r>
              <w:rPr>
                <w:rFonts w:hint="eastAsia" w:ascii="仿宋_GB2312" w:hAnsi="Calibri" w:eastAsia="仿宋_GB2312" w:cs="Times New Roman"/>
                <w:b w:val="0"/>
                <w:bCs w:val="0"/>
                <w:color w:val="auto"/>
                <w:sz w:val="32"/>
                <w:szCs w:val="30"/>
                <w:u w:val="none"/>
              </w:rPr>
              <w:t>5月2</w:t>
            </w:r>
            <w:r>
              <w:rPr>
                <w:rFonts w:hint="eastAsia" w:ascii="仿宋_GB2312" w:hAnsi="Calibri" w:eastAsia="仿宋_GB2312" w:cs="Times New Roman"/>
                <w:b w:val="0"/>
                <w:bCs w:val="0"/>
                <w:color w:val="auto"/>
                <w:sz w:val="32"/>
                <w:szCs w:val="30"/>
                <w:u w:val="none"/>
                <w:lang w:val="en-US" w:eastAsia="zh-CN"/>
              </w:rPr>
              <w:t>2</w:t>
            </w:r>
            <w:r>
              <w:rPr>
                <w:rFonts w:hint="eastAsia" w:ascii="仿宋_GB2312" w:hAnsi="Calibri" w:eastAsia="仿宋_GB2312" w:cs="Times New Roman"/>
                <w:b w:val="0"/>
                <w:bCs w:val="0"/>
                <w:color w:val="auto"/>
                <w:sz w:val="32"/>
                <w:szCs w:val="30"/>
                <w:u w:val="none"/>
              </w:rPr>
              <w:t>日</w:t>
            </w:r>
            <w:r>
              <w:rPr>
                <w:rFonts w:hint="eastAsia" w:ascii="仿宋_GB2312" w:hAnsi="Calibri" w:eastAsia="仿宋_GB2312" w:cs="Times New Roman"/>
                <w:b w:val="0"/>
                <w:bCs w:val="0"/>
                <w:color w:val="auto"/>
                <w:sz w:val="32"/>
                <w:szCs w:val="30"/>
                <w:u w:val="none"/>
                <w:lang w:eastAsia="zh-CN"/>
              </w:rPr>
              <w:t>—</w:t>
            </w:r>
            <w:r>
              <w:rPr>
                <w:rFonts w:hint="eastAsia" w:ascii="仿宋_GB2312" w:hAnsi="Calibri" w:eastAsia="仿宋_GB2312" w:cs="Times New Roman"/>
                <w:b w:val="0"/>
                <w:bCs w:val="0"/>
                <w:color w:val="auto"/>
                <w:sz w:val="32"/>
                <w:szCs w:val="30"/>
                <w:u w:val="none"/>
              </w:rPr>
              <w:t>5月3</w:t>
            </w:r>
            <w:r>
              <w:rPr>
                <w:rFonts w:hint="eastAsia" w:ascii="仿宋_GB2312" w:hAnsi="Calibri" w:eastAsia="仿宋_GB2312" w:cs="Times New Roman"/>
                <w:b w:val="0"/>
                <w:bCs w:val="0"/>
                <w:color w:val="auto"/>
                <w:sz w:val="32"/>
                <w:szCs w:val="30"/>
                <w:u w:val="none"/>
                <w:lang w:val="en-US" w:eastAsia="zh-CN"/>
              </w:rPr>
              <w:t>0</w:t>
            </w:r>
            <w:r>
              <w:rPr>
                <w:rFonts w:hint="eastAsia" w:ascii="仿宋_GB2312" w:hAnsi="Calibri" w:eastAsia="仿宋_GB2312" w:cs="Times New Roman"/>
                <w:b w:val="0"/>
                <w:bCs w:val="0"/>
                <w:color w:val="auto"/>
                <w:sz w:val="32"/>
                <w:szCs w:val="30"/>
                <w:u w:val="none"/>
              </w:rPr>
              <w:t>日</w:t>
            </w:r>
          </w:p>
        </w:tc>
        <w:tc>
          <w:tcPr>
            <w:tcW w:w="5018" w:type="dxa"/>
            <w:noWrap w:val="0"/>
            <w:vAlign w:val="center"/>
          </w:tcPr>
          <w:p>
            <w:pPr>
              <w:spacing w:line="520" w:lineRule="exact"/>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网上填报志愿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621" w:type="dxa"/>
            <w:noWrap w:val="0"/>
            <w:vAlign w:val="center"/>
          </w:tcPr>
          <w:p>
            <w:pPr>
              <w:spacing w:line="520" w:lineRule="exact"/>
              <w:jc w:val="center"/>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6月30日—7月2日</w:t>
            </w:r>
          </w:p>
        </w:tc>
        <w:tc>
          <w:tcPr>
            <w:tcW w:w="5018" w:type="dxa"/>
            <w:noWrap w:val="0"/>
            <w:vAlign w:val="center"/>
          </w:tcPr>
          <w:p>
            <w:pPr>
              <w:spacing w:line="520" w:lineRule="exact"/>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全省统一考试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3621" w:type="dxa"/>
            <w:noWrap w:val="0"/>
            <w:vAlign w:val="center"/>
          </w:tcPr>
          <w:p>
            <w:pPr>
              <w:spacing w:line="520" w:lineRule="exact"/>
              <w:jc w:val="center"/>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7月3日—7月16日</w:t>
            </w:r>
          </w:p>
        </w:tc>
        <w:tc>
          <w:tcPr>
            <w:tcW w:w="5018" w:type="dxa"/>
            <w:noWrap w:val="0"/>
            <w:vAlign w:val="center"/>
          </w:tcPr>
          <w:p>
            <w:pPr>
              <w:spacing w:line="240" w:lineRule="auto"/>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答题卡扫描</w:t>
            </w:r>
            <w:r>
              <w:rPr>
                <w:rFonts w:hint="eastAsia" w:ascii="仿宋_GB2312" w:hAnsi="Calibri" w:eastAsia="仿宋_GB2312" w:cs="Times New Roman"/>
                <w:b w:val="0"/>
                <w:bCs w:val="0"/>
                <w:color w:val="auto"/>
                <w:sz w:val="32"/>
                <w:szCs w:val="32"/>
                <w:u w:val="none"/>
                <w:lang w:eastAsia="zh-CN"/>
              </w:rPr>
              <w:t>、组织</w:t>
            </w:r>
            <w:r>
              <w:rPr>
                <w:rFonts w:hint="eastAsia" w:ascii="仿宋_GB2312" w:hAnsi="Calibri" w:eastAsia="仿宋_GB2312" w:cs="Times New Roman"/>
                <w:b w:val="0"/>
                <w:bCs w:val="0"/>
                <w:color w:val="auto"/>
                <w:sz w:val="32"/>
                <w:szCs w:val="32"/>
                <w:u w:val="none"/>
              </w:rPr>
              <w:t>评卷</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rPr>
              <w:t>登分</w:t>
            </w:r>
            <w:r>
              <w:rPr>
                <w:rFonts w:hint="eastAsia" w:ascii="仿宋_GB2312" w:hAnsi="Calibri" w:eastAsia="仿宋_GB2312" w:cs="Times New Roman"/>
                <w:b w:val="0"/>
                <w:bCs w:val="0"/>
                <w:color w:val="auto"/>
                <w:sz w:val="32"/>
                <w:szCs w:val="32"/>
                <w:u w:val="none"/>
                <w:lang w:eastAsia="zh-CN"/>
              </w:rPr>
              <w:t>（</w:t>
            </w:r>
            <w:r>
              <w:rPr>
                <w:rFonts w:hint="eastAsia" w:ascii="仿宋_GB2312" w:hAnsi="Calibri" w:eastAsia="仿宋_GB2312" w:cs="Times New Roman"/>
                <w:b w:val="0"/>
                <w:bCs w:val="0"/>
                <w:color w:val="auto"/>
                <w:sz w:val="32"/>
                <w:szCs w:val="32"/>
                <w:u w:val="none"/>
                <w:lang w:val="en-US" w:eastAsia="zh-CN"/>
              </w:rPr>
              <w:t>含初二年级考试科目</w:t>
            </w:r>
            <w:r>
              <w:rPr>
                <w:rFonts w:hint="eastAsia" w:ascii="仿宋_GB2312" w:hAnsi="Calibri" w:eastAsia="仿宋_GB2312" w:cs="Times New Roman"/>
                <w:b w:val="0"/>
                <w:bCs w:val="0"/>
                <w:color w:val="auto"/>
                <w:sz w:val="32"/>
                <w:szCs w:val="32"/>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621" w:type="dxa"/>
            <w:noWrap w:val="0"/>
            <w:vAlign w:val="center"/>
          </w:tcPr>
          <w:p>
            <w:pPr>
              <w:spacing w:line="520" w:lineRule="exact"/>
              <w:jc w:val="center"/>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7月17日—7月18日</w:t>
            </w:r>
          </w:p>
        </w:tc>
        <w:tc>
          <w:tcPr>
            <w:tcW w:w="5018" w:type="dxa"/>
            <w:noWrap w:val="0"/>
            <w:vAlign w:val="center"/>
          </w:tcPr>
          <w:p>
            <w:pPr>
              <w:spacing w:line="240" w:lineRule="auto"/>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公布成绩</w:t>
            </w:r>
            <w:r>
              <w:rPr>
                <w:rFonts w:hint="eastAsia" w:ascii="仿宋_GB2312" w:hAnsi="Calibri" w:eastAsia="仿宋_GB2312" w:cs="Times New Roman"/>
                <w:b w:val="0"/>
                <w:bCs w:val="0"/>
                <w:color w:val="auto"/>
                <w:sz w:val="32"/>
                <w:szCs w:val="32"/>
                <w:u w:val="none"/>
                <w:lang w:val="en-US" w:eastAsia="zh-CN"/>
              </w:rPr>
              <w:t>、录取前准备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3621" w:type="dxa"/>
            <w:noWrap w:val="0"/>
            <w:vAlign w:val="center"/>
          </w:tcPr>
          <w:p>
            <w:pPr>
              <w:spacing w:line="520" w:lineRule="exact"/>
              <w:jc w:val="center"/>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7月19日—7月25日</w:t>
            </w:r>
          </w:p>
        </w:tc>
        <w:tc>
          <w:tcPr>
            <w:tcW w:w="5018" w:type="dxa"/>
            <w:noWrap w:val="0"/>
            <w:vAlign w:val="center"/>
          </w:tcPr>
          <w:p>
            <w:pPr>
              <w:spacing w:line="520" w:lineRule="exact"/>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普通高中录取</w:t>
            </w:r>
            <w:r>
              <w:rPr>
                <w:rFonts w:hint="eastAsia" w:ascii="仿宋_GB2312" w:hAnsi="Calibri" w:eastAsia="仿宋_GB2312" w:cs="Times New Roman"/>
                <w:b w:val="0"/>
                <w:bCs w:val="0"/>
                <w:color w:val="auto"/>
                <w:sz w:val="32"/>
                <w:szCs w:val="32"/>
                <w:u w:val="none"/>
                <w:lang w:eastAsia="zh-CN"/>
              </w:rPr>
              <w:t>（提前批、第一批、第二批）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3621" w:type="dxa"/>
            <w:noWrap w:val="0"/>
            <w:vAlign w:val="center"/>
          </w:tcPr>
          <w:p>
            <w:pPr>
              <w:spacing w:line="520" w:lineRule="exact"/>
              <w:jc w:val="center"/>
              <w:rPr>
                <w:rFonts w:hint="default"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7月26日—7月28日</w:t>
            </w:r>
          </w:p>
        </w:tc>
        <w:tc>
          <w:tcPr>
            <w:tcW w:w="5018" w:type="dxa"/>
            <w:noWrap w:val="0"/>
            <w:vAlign w:val="center"/>
          </w:tcPr>
          <w:p>
            <w:pPr>
              <w:spacing w:line="520" w:lineRule="exact"/>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普通高中征集志愿和补录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3621" w:type="dxa"/>
            <w:noWrap w:val="0"/>
            <w:vAlign w:val="center"/>
          </w:tcPr>
          <w:p>
            <w:pPr>
              <w:spacing w:line="520" w:lineRule="exact"/>
              <w:jc w:val="center"/>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val="0"/>
                <w:bCs w:val="0"/>
                <w:color w:val="auto"/>
                <w:sz w:val="32"/>
                <w:szCs w:val="32"/>
                <w:u w:val="none"/>
                <w:lang w:val="en-US" w:eastAsia="zh-CN"/>
              </w:rPr>
              <w:t>7月29日—7月31日</w:t>
            </w:r>
          </w:p>
        </w:tc>
        <w:tc>
          <w:tcPr>
            <w:tcW w:w="5018" w:type="dxa"/>
            <w:noWrap w:val="0"/>
            <w:vAlign w:val="center"/>
          </w:tcPr>
          <w:p>
            <w:pPr>
              <w:spacing w:line="520" w:lineRule="exact"/>
              <w:jc w:val="left"/>
              <w:rPr>
                <w:rFonts w:hint="eastAsia" w:ascii="仿宋_GB2312" w:hAnsi="Calibri" w:eastAsia="仿宋_GB2312" w:cs="Times New Roman"/>
                <w:b w:val="0"/>
                <w:bCs w:val="0"/>
                <w:color w:val="auto"/>
                <w:sz w:val="32"/>
                <w:szCs w:val="32"/>
                <w:u w:val="none"/>
              </w:rPr>
            </w:pPr>
            <w:r>
              <w:rPr>
                <w:rFonts w:hint="eastAsia" w:ascii="仿宋_GB2312" w:hAnsi="Calibri" w:eastAsia="仿宋_GB2312" w:cs="Times New Roman"/>
                <w:b w:val="0"/>
                <w:bCs w:val="0"/>
                <w:color w:val="auto"/>
                <w:sz w:val="32"/>
                <w:szCs w:val="32"/>
                <w:u w:val="none"/>
              </w:rPr>
              <w:t>中职学校录取</w:t>
            </w:r>
            <w:r>
              <w:rPr>
                <w:rFonts w:hint="eastAsia" w:ascii="仿宋_GB2312" w:hAnsi="Calibri" w:eastAsia="仿宋_GB2312" w:cs="Times New Roman"/>
                <w:b w:val="0"/>
                <w:bCs w:val="0"/>
                <w:color w:val="auto"/>
                <w:sz w:val="32"/>
                <w:szCs w:val="32"/>
                <w:u w:val="none"/>
                <w:lang w:eastAsia="zh-CN"/>
              </w:rPr>
              <w:t>（第三批）</w:t>
            </w:r>
          </w:p>
        </w:tc>
      </w:tr>
    </w:tbl>
    <w:p>
      <w:pPr>
        <w:spacing w:line="520" w:lineRule="exact"/>
        <w:ind w:firstLine="640" w:firstLineChars="200"/>
        <w:jc w:val="left"/>
        <w:rPr>
          <w:b w:val="0"/>
          <w:bCs w:val="0"/>
          <w:sz w:val="32"/>
          <w:u w:val="none"/>
        </w:rPr>
      </w:pPr>
      <w:r>
        <w:rPr>
          <w:rFonts w:hint="eastAsia" w:ascii="仿宋_GB2312" w:hAnsi="Calibri" w:eastAsia="仿宋_GB2312" w:cs="Times New Roman"/>
          <w:b w:val="0"/>
          <w:bCs w:val="0"/>
          <w:color w:val="auto"/>
          <w:sz w:val="32"/>
          <w:szCs w:val="32"/>
          <w:u w:val="none"/>
        </w:rPr>
        <w:t>注：如有调整另行通知，以最新文件为准。</w:t>
      </w:r>
    </w:p>
    <w:p>
      <w:pPr>
        <w:snapToGrid w:val="0"/>
        <w:spacing w:line="520" w:lineRule="exact"/>
        <w:jc w:val="left"/>
        <w:rPr>
          <w:rFonts w:hint="eastAsia" w:ascii="黑体" w:hAnsi="黑体" w:eastAsia="黑体" w:cs="Times New Roman"/>
          <w:b w:val="0"/>
          <w:bCs w:val="0"/>
          <w:color w:val="auto"/>
          <w:sz w:val="32"/>
          <w:u w:val="none"/>
        </w:rPr>
      </w:pPr>
      <w:r>
        <w:rPr>
          <w:rFonts w:hint="eastAsia" w:ascii="黑体" w:hAnsi="黑体" w:eastAsia="黑体" w:cs="Times New Roman"/>
          <w:b w:val="0"/>
          <w:bCs w:val="0"/>
          <w:color w:val="auto"/>
          <w:sz w:val="32"/>
          <w:u w:val="none"/>
        </w:rPr>
        <w:t>附件</w:t>
      </w:r>
      <w:r>
        <w:rPr>
          <w:rFonts w:hint="eastAsia" w:ascii="黑体" w:hAnsi="黑体" w:eastAsia="黑体" w:cs="Times New Roman"/>
          <w:b w:val="0"/>
          <w:bCs w:val="0"/>
          <w:color w:val="auto"/>
          <w:sz w:val="32"/>
          <w:u w:val="none"/>
          <w:lang w:eastAsia="zh-CN"/>
        </w:rPr>
        <w:t>4</w:t>
      </w:r>
    </w:p>
    <w:p>
      <w:pPr>
        <w:spacing w:line="660" w:lineRule="exact"/>
        <w:jc w:val="center"/>
        <w:rPr>
          <w:rFonts w:hint="eastAsia" w:ascii="方正小标宋简体" w:hAnsi="Calibri" w:eastAsia="方正小标宋简体" w:cs="Times New Roman"/>
          <w:b w:val="0"/>
          <w:bCs w:val="0"/>
          <w:color w:val="auto"/>
          <w:sz w:val="44"/>
          <w:szCs w:val="44"/>
          <w:u w:val="none"/>
        </w:rPr>
      </w:pPr>
    </w:p>
    <w:p>
      <w:pPr>
        <w:spacing w:line="660" w:lineRule="exact"/>
        <w:jc w:val="center"/>
        <w:rPr>
          <w:rFonts w:hint="eastAsia" w:ascii="方正小标宋简体" w:hAnsi="Calibri" w:eastAsia="方正小标宋简体" w:cs="Times New Roman"/>
          <w:b w:val="0"/>
          <w:bCs w:val="0"/>
          <w:color w:val="auto"/>
          <w:sz w:val="44"/>
          <w:szCs w:val="44"/>
          <w:u w:val="none"/>
        </w:rPr>
      </w:pPr>
      <w:r>
        <w:rPr>
          <w:rFonts w:hint="eastAsia" w:ascii="方正小标宋简体" w:hAnsi="Calibri" w:eastAsia="方正小标宋简体" w:cs="Times New Roman"/>
          <w:b w:val="0"/>
          <w:bCs w:val="0"/>
          <w:color w:val="auto"/>
          <w:sz w:val="44"/>
          <w:szCs w:val="44"/>
          <w:u w:val="none"/>
        </w:rPr>
        <w:t>佛山市2025年高中阶段学校招生</w:t>
      </w:r>
    </w:p>
    <w:p>
      <w:pPr>
        <w:spacing w:line="660" w:lineRule="exact"/>
        <w:jc w:val="center"/>
        <w:rPr>
          <w:rFonts w:hint="eastAsia" w:ascii="方正小标宋简体" w:hAnsi="Calibri" w:eastAsia="方正小标宋简体" w:cs="Times New Roman"/>
          <w:b w:val="0"/>
          <w:bCs w:val="0"/>
          <w:color w:val="auto"/>
          <w:sz w:val="44"/>
          <w:szCs w:val="44"/>
          <w:u w:val="none"/>
          <w:lang w:val="en-US" w:eastAsia="zh-CN"/>
        </w:rPr>
      </w:pPr>
      <w:r>
        <w:rPr>
          <w:rFonts w:hint="eastAsia" w:ascii="方正小标宋简体" w:hAnsi="Calibri" w:eastAsia="方正小标宋简体" w:cs="Times New Roman"/>
          <w:b w:val="0"/>
          <w:bCs w:val="0"/>
          <w:color w:val="auto"/>
          <w:sz w:val="44"/>
          <w:szCs w:val="44"/>
          <w:u w:val="none"/>
          <w:lang w:val="en-US" w:eastAsia="zh-CN"/>
        </w:rPr>
        <w:t>非本市户籍考生报考资格认定条件表</w:t>
      </w:r>
    </w:p>
    <w:p>
      <w:pPr>
        <w:spacing w:line="660" w:lineRule="exact"/>
        <w:jc w:val="center"/>
        <w:rPr>
          <w:rFonts w:hint="eastAsia" w:ascii="方正小标宋简体" w:hAnsi="Calibri" w:eastAsia="方正小标宋简体" w:cs="Times New Roman"/>
          <w:b w:val="0"/>
          <w:bCs w:val="0"/>
          <w:color w:val="auto"/>
          <w:sz w:val="44"/>
          <w:szCs w:val="44"/>
          <w:u w:val="none"/>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3062"/>
        <w:gridCol w:w="2942"/>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blHeader/>
          <w:jc w:val="center"/>
        </w:trPr>
        <w:tc>
          <w:tcPr>
            <w:tcW w:w="454" w:type="dxa"/>
            <w:tcBorders>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jc w:val="center"/>
              <w:rPr>
                <w:rFonts w:hint="eastAsia" w:ascii="黑体" w:hAnsi="黑体" w:eastAsia="黑体"/>
                <w:b w:val="0"/>
                <w:bCs w:val="0"/>
                <w:color w:val="auto"/>
                <w:kern w:val="0"/>
                <w:szCs w:val="21"/>
                <w:u w:val="none"/>
              </w:rPr>
            </w:pPr>
            <w:r>
              <w:rPr>
                <w:rFonts w:hint="eastAsia" w:ascii="黑体" w:hAnsi="黑体" w:eastAsia="黑体"/>
                <w:b w:val="0"/>
                <w:bCs w:val="0"/>
                <w:color w:val="auto"/>
                <w:kern w:val="0"/>
                <w:szCs w:val="21"/>
                <w:u w:val="none"/>
              </w:rPr>
              <w:t>序号</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jc w:val="center"/>
              <w:rPr>
                <w:rFonts w:hint="eastAsia" w:ascii="黑体" w:hAnsi="黑体" w:eastAsia="黑体"/>
                <w:b w:val="0"/>
                <w:bCs w:val="0"/>
                <w:color w:val="auto"/>
                <w:kern w:val="0"/>
                <w:szCs w:val="21"/>
                <w:u w:val="none"/>
              </w:rPr>
            </w:pPr>
            <w:r>
              <w:rPr>
                <w:rFonts w:hint="eastAsia" w:ascii="黑体" w:hAnsi="黑体" w:eastAsia="黑体"/>
                <w:b w:val="0"/>
                <w:bCs w:val="0"/>
                <w:color w:val="auto"/>
                <w:kern w:val="0"/>
                <w:szCs w:val="21"/>
                <w:u w:val="none"/>
                <w:lang w:val="en-US" w:eastAsia="zh-CN"/>
              </w:rPr>
              <w:t>认定</w:t>
            </w:r>
            <w:r>
              <w:rPr>
                <w:rFonts w:hint="eastAsia" w:ascii="黑体" w:hAnsi="黑体" w:eastAsia="黑体"/>
                <w:b w:val="0"/>
                <w:bCs w:val="0"/>
                <w:color w:val="auto"/>
                <w:kern w:val="0"/>
                <w:szCs w:val="21"/>
                <w:u w:val="none"/>
              </w:rPr>
              <w:t>条件</w:t>
            </w:r>
          </w:p>
        </w:tc>
        <w:tc>
          <w:tcPr>
            <w:tcW w:w="2942" w:type="dxa"/>
            <w:tcBorders>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黑体" w:hAnsi="黑体" w:eastAsia="黑体"/>
                <w:b w:val="0"/>
                <w:bCs w:val="0"/>
                <w:color w:val="auto"/>
                <w:kern w:val="0"/>
                <w:szCs w:val="21"/>
                <w:u w:val="none"/>
              </w:rPr>
            </w:pPr>
            <w:r>
              <w:rPr>
                <w:rFonts w:hint="eastAsia" w:ascii="黑体" w:hAnsi="黑体" w:eastAsia="黑体"/>
                <w:b w:val="0"/>
                <w:bCs w:val="0"/>
                <w:color w:val="auto"/>
                <w:kern w:val="0"/>
                <w:szCs w:val="21"/>
                <w:u w:val="none"/>
              </w:rPr>
              <w:t>报名提交基本材料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黑体" w:hAnsi="黑体" w:eastAsia="黑体"/>
                <w:b w:val="0"/>
                <w:bCs w:val="0"/>
                <w:color w:val="auto"/>
                <w:kern w:val="0"/>
                <w:szCs w:val="21"/>
                <w:u w:val="none"/>
              </w:rPr>
            </w:pPr>
            <w:r>
              <w:rPr>
                <w:rFonts w:hint="eastAsia" w:ascii="黑体" w:hAnsi="黑体" w:eastAsia="黑体"/>
                <w:b w:val="0"/>
                <w:bCs w:val="0"/>
                <w:color w:val="auto"/>
                <w:kern w:val="0"/>
                <w:szCs w:val="21"/>
                <w:u w:val="none"/>
              </w:rPr>
              <w:t>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4"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1</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lang w:val="en-US" w:eastAsia="zh-CN"/>
              </w:rPr>
            </w:pPr>
            <w:r>
              <w:rPr>
                <w:rFonts w:hint="eastAsia" w:ascii="仿宋_GB2312" w:hAnsi="宋体" w:eastAsia="仿宋_GB2312" w:cs="宋体"/>
                <w:b w:val="0"/>
                <w:bCs w:val="0"/>
                <w:color w:val="auto"/>
                <w:kern w:val="0"/>
                <w:szCs w:val="21"/>
                <w:u w:val="none"/>
                <w:lang w:eastAsia="zh-CN"/>
              </w:rPr>
              <w:t>现役军人、</w:t>
            </w:r>
            <w:r>
              <w:rPr>
                <w:rFonts w:hint="eastAsia" w:ascii="仿宋_GB2312" w:hAnsi="宋体" w:eastAsia="仿宋_GB2312" w:cs="宋体"/>
                <w:b w:val="0"/>
                <w:bCs w:val="0"/>
                <w:color w:val="auto"/>
                <w:kern w:val="0"/>
                <w:szCs w:val="21"/>
                <w:u w:val="none"/>
                <w:lang w:val="en-US" w:eastAsia="zh-CN"/>
              </w:rPr>
              <w:t>烈士、因公牺牲或病故军人适龄子女；</w:t>
            </w:r>
          </w:p>
          <w:p>
            <w:pPr>
              <w:pStyle w:val="18"/>
              <w:widowControl/>
              <w:adjustRightInd w:val="0"/>
              <w:snapToGrid w:val="0"/>
              <w:spacing w:line="300" w:lineRule="exact"/>
              <w:rPr>
                <w:rFonts w:hint="eastAsia" w:ascii="仿宋_GB2312" w:hAnsi="宋体" w:eastAsia="仿宋_GB2312" w:cs="宋体"/>
                <w:b w:val="0"/>
                <w:bCs w:val="0"/>
                <w:color w:val="auto"/>
                <w:kern w:val="0"/>
                <w:szCs w:val="21"/>
                <w:u w:val="none"/>
                <w:lang w:val="en-US" w:eastAsia="zh-CN"/>
              </w:rPr>
            </w:pPr>
            <w:r>
              <w:rPr>
                <w:rFonts w:hint="eastAsia" w:ascii="仿宋_GB2312" w:hAnsi="宋体" w:eastAsia="仿宋_GB2312" w:cs="宋体"/>
                <w:b w:val="0"/>
                <w:bCs w:val="0"/>
                <w:color w:val="auto"/>
                <w:kern w:val="0"/>
                <w:szCs w:val="21"/>
                <w:u w:val="none"/>
                <w:lang w:val="en-US" w:eastAsia="zh-CN"/>
              </w:rPr>
              <w:t>国家综合性消防救援队伍人员、政府专职消防员、市森林消防综合救援队队员适龄子女；</w:t>
            </w:r>
          </w:p>
          <w:p>
            <w:pPr>
              <w:pStyle w:val="18"/>
              <w:widowControl/>
              <w:adjustRightInd w:val="0"/>
              <w:snapToGrid w:val="0"/>
              <w:spacing w:line="300" w:lineRule="exact"/>
              <w:rPr>
                <w:rFonts w:hint="eastAsia" w:ascii="仿宋_GB2312" w:hAnsi="宋体" w:eastAsia="仿宋_GB2312" w:cs="宋体"/>
                <w:b w:val="0"/>
                <w:bCs w:val="0"/>
                <w:color w:val="auto"/>
                <w:kern w:val="0"/>
                <w:szCs w:val="21"/>
                <w:u w:val="none"/>
                <w:lang w:val="en-US" w:eastAsia="zh-CN"/>
              </w:rPr>
            </w:pPr>
            <w:r>
              <w:rPr>
                <w:rFonts w:hint="eastAsia" w:ascii="仿宋_GB2312" w:hAnsi="宋体" w:eastAsia="仿宋_GB2312" w:cs="宋体"/>
                <w:b w:val="0"/>
                <w:bCs w:val="0"/>
                <w:color w:val="auto"/>
                <w:kern w:val="0"/>
                <w:szCs w:val="21"/>
                <w:u w:val="none"/>
                <w:lang w:val="en-US" w:eastAsia="zh-CN"/>
              </w:rPr>
              <w:t>支援边疆建设或从事地质勘探等长期野外工作，委托本市户籍居民照顾（监护）的适龄子女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市厅（局）级或军分区</w:t>
            </w:r>
            <w:r>
              <w:rPr>
                <w:rFonts w:hint="eastAsia" w:ascii="仿宋_GB2312" w:hAnsi="宋体" w:eastAsia="仿宋_GB2312" w:cs="宋体"/>
                <w:b w:val="0"/>
                <w:bCs w:val="0"/>
                <w:color w:val="auto"/>
                <w:kern w:val="0"/>
                <w:szCs w:val="21"/>
                <w:u w:val="none"/>
                <w:lang w:eastAsia="zh-CN"/>
              </w:rPr>
              <w:t>、</w:t>
            </w:r>
            <w:r>
              <w:rPr>
                <w:rFonts w:hint="eastAsia" w:ascii="仿宋_GB2312" w:hAnsi="宋体" w:eastAsia="仿宋_GB2312" w:cs="宋体"/>
                <w:b w:val="0"/>
                <w:bCs w:val="0"/>
                <w:color w:val="auto"/>
                <w:kern w:val="0"/>
                <w:szCs w:val="21"/>
                <w:u w:val="none"/>
                <w:lang w:val="en-US" w:eastAsia="zh-CN"/>
              </w:rPr>
              <w:t>消防部门</w:t>
            </w:r>
            <w:r>
              <w:rPr>
                <w:rFonts w:hint="eastAsia" w:ascii="仿宋_GB2312" w:hAnsi="宋体" w:eastAsia="仿宋_GB2312" w:cs="宋体"/>
                <w:b w:val="0"/>
                <w:bCs w:val="0"/>
                <w:color w:val="auto"/>
                <w:kern w:val="0"/>
                <w:szCs w:val="21"/>
                <w:u w:val="none"/>
              </w:rPr>
              <w:t>确认材料，子女与父母（或一方）同户的户口簿或子女与父母关系确认材料，委托监护</w:t>
            </w:r>
            <w:r>
              <w:rPr>
                <w:rFonts w:hint="eastAsia" w:ascii="仿宋_GB2312" w:hAnsi="宋体" w:eastAsia="仿宋_GB2312" w:cs="宋体"/>
                <w:b w:val="0"/>
                <w:bCs w:val="0"/>
                <w:color w:val="auto"/>
                <w:kern w:val="0"/>
                <w:szCs w:val="21"/>
                <w:u w:val="none"/>
                <w:lang w:eastAsia="zh-CN"/>
              </w:rPr>
              <w:t>的</w:t>
            </w:r>
            <w:r>
              <w:rPr>
                <w:rFonts w:hint="eastAsia" w:ascii="仿宋_GB2312" w:hAnsi="宋体" w:eastAsia="仿宋_GB2312" w:cs="宋体"/>
                <w:b w:val="0"/>
                <w:bCs w:val="0"/>
                <w:color w:val="auto"/>
                <w:kern w:val="0"/>
                <w:szCs w:val="21"/>
                <w:u w:val="none"/>
                <w:lang w:val="en-US" w:eastAsia="zh-CN"/>
              </w:rPr>
              <w:t>提供</w:t>
            </w:r>
            <w:r>
              <w:rPr>
                <w:rFonts w:hint="eastAsia" w:ascii="仿宋_GB2312" w:hAnsi="宋体" w:eastAsia="仿宋_GB2312" w:cs="宋体"/>
                <w:b w:val="0"/>
                <w:bCs w:val="0"/>
                <w:color w:val="auto"/>
                <w:kern w:val="0"/>
                <w:szCs w:val="21"/>
                <w:u w:val="none"/>
              </w:rPr>
              <w:t>公证书</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9"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2</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lang w:val="en-US" w:eastAsia="zh-CN"/>
              </w:rPr>
            </w:pPr>
            <w:r>
              <w:rPr>
                <w:rFonts w:hint="eastAsia" w:ascii="仿宋_GB2312" w:hAnsi="宋体" w:eastAsia="仿宋_GB2312" w:cs="宋体"/>
                <w:b w:val="0"/>
                <w:bCs w:val="0"/>
                <w:color w:val="auto"/>
                <w:kern w:val="0"/>
                <w:szCs w:val="21"/>
                <w:u w:val="none"/>
                <w:lang w:val="en-US" w:eastAsia="zh-CN"/>
              </w:rPr>
              <w:t>公安、司法行政机关人民警察</w:t>
            </w:r>
            <w:r>
              <w:rPr>
                <w:rFonts w:hint="eastAsia" w:ascii="仿宋_GB2312" w:hAnsi="宋体" w:eastAsia="仿宋_GB2312" w:cs="宋体"/>
                <w:b w:val="0"/>
                <w:bCs w:val="0"/>
                <w:color w:val="auto"/>
                <w:kern w:val="0"/>
                <w:szCs w:val="21"/>
                <w:u w:val="none"/>
              </w:rPr>
              <w:t>烈士、英模和因公牺牲、一级至四级因公伤残</w:t>
            </w:r>
            <w:r>
              <w:rPr>
                <w:rFonts w:hint="eastAsia" w:ascii="仿宋_GB2312" w:hAnsi="宋体" w:eastAsia="仿宋_GB2312" w:cs="宋体"/>
                <w:b w:val="0"/>
                <w:bCs w:val="0"/>
                <w:color w:val="auto"/>
                <w:kern w:val="0"/>
                <w:szCs w:val="21"/>
                <w:u w:val="none"/>
                <w:lang w:val="en-US" w:eastAsia="zh-CN"/>
              </w:rPr>
              <w:t>警察适龄子女；</w:t>
            </w:r>
          </w:p>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因公殉职基层干部适龄子女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公安</w:t>
            </w:r>
            <w:r>
              <w:rPr>
                <w:rFonts w:hint="eastAsia" w:ascii="仿宋_GB2312" w:hAnsi="宋体" w:eastAsia="仿宋_GB2312" w:cs="宋体"/>
                <w:b w:val="0"/>
                <w:bCs w:val="0"/>
                <w:color w:val="auto"/>
                <w:kern w:val="0"/>
                <w:szCs w:val="21"/>
                <w:u w:val="none"/>
                <w:lang w:eastAsia="zh-CN"/>
              </w:rPr>
              <w:t>、</w:t>
            </w:r>
            <w:r>
              <w:rPr>
                <w:rFonts w:hint="eastAsia" w:ascii="仿宋_GB2312" w:hAnsi="宋体" w:eastAsia="仿宋_GB2312" w:cs="宋体"/>
                <w:b w:val="0"/>
                <w:bCs w:val="0"/>
                <w:color w:val="auto"/>
                <w:kern w:val="0"/>
                <w:szCs w:val="21"/>
                <w:u w:val="none"/>
                <w:lang w:val="en-US" w:eastAsia="zh-CN"/>
              </w:rPr>
              <w:t>司法行政机关</w:t>
            </w:r>
            <w:r>
              <w:rPr>
                <w:rFonts w:hint="eastAsia" w:ascii="仿宋_GB2312" w:hAnsi="宋体" w:eastAsia="仿宋_GB2312" w:cs="宋体"/>
                <w:b w:val="0"/>
                <w:bCs w:val="0"/>
                <w:color w:val="auto"/>
                <w:kern w:val="0"/>
                <w:szCs w:val="21"/>
                <w:u w:val="none"/>
              </w:rPr>
              <w:t>或人力资源社会保障部门相关证明，子女与父母（或一方）同户的户口簿或子女与父母关系确认材料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3</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本市优抚对象的适龄子女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《佛山市优抚对象优待证》，本市监护人户口簿</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4</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本市户籍居民合法收养的适龄子女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《收养登记证》，本市户籍收养人户口簿</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5"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5</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父母均长期患重病或失去监护子女能力的残疾人，委托本市户籍居民照顾（监护）的适龄子女</w:t>
            </w:r>
            <w:r>
              <w:rPr>
                <w:rFonts w:hint="eastAsia" w:ascii="仿宋_GB2312" w:hAnsi="宋体" w:eastAsia="仿宋_GB2312" w:cs="宋体"/>
                <w:b w:val="0"/>
                <w:bCs w:val="0"/>
                <w:color w:val="auto"/>
                <w:kern w:val="0"/>
                <w:szCs w:val="21"/>
                <w:u w:val="none"/>
                <w:lang w:eastAsia="zh-CN"/>
              </w:rPr>
              <w:t>；</w:t>
            </w:r>
          </w:p>
          <w:p>
            <w:pPr>
              <w:pStyle w:val="18"/>
              <w:widowControl/>
              <w:adjustRightInd w:val="0"/>
              <w:snapToGrid w:val="0"/>
              <w:spacing w:line="300" w:lineRule="exact"/>
              <w:rPr>
                <w:rFonts w:hint="eastAsia" w:ascii="仿宋_GB2312" w:hAnsi="宋体" w:eastAsia="仿宋_GB2312" w:cs="宋体"/>
                <w:b w:val="0"/>
                <w:bCs w:val="0"/>
                <w:color w:val="auto"/>
                <w:kern w:val="0"/>
                <w:szCs w:val="21"/>
                <w:u w:val="none"/>
                <w:lang w:val="en-US" w:eastAsia="zh-CN"/>
              </w:rPr>
            </w:pPr>
            <w:r>
              <w:rPr>
                <w:rFonts w:hint="eastAsia" w:ascii="仿宋_GB2312" w:hAnsi="宋体" w:eastAsia="仿宋_GB2312" w:cs="宋体"/>
                <w:b w:val="0"/>
                <w:bCs w:val="0"/>
                <w:color w:val="auto"/>
                <w:kern w:val="0"/>
                <w:szCs w:val="21"/>
                <w:u w:val="none"/>
                <w:lang w:val="en-US" w:eastAsia="zh-CN"/>
              </w:rPr>
              <w:t>本市见义勇为牺牲或致残人士适龄子女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市民政局或市残联证明</w:t>
            </w:r>
            <w:r>
              <w:rPr>
                <w:rFonts w:hint="eastAsia" w:ascii="仿宋_GB2312" w:hAnsi="宋体" w:eastAsia="仿宋_GB2312" w:cs="宋体"/>
                <w:b w:val="0"/>
                <w:bCs w:val="0"/>
                <w:color w:val="auto"/>
                <w:kern w:val="0"/>
                <w:szCs w:val="21"/>
                <w:u w:val="none"/>
                <w:lang w:val="en-US" w:eastAsia="zh-CN"/>
              </w:rPr>
              <w:t>或</w:t>
            </w:r>
            <w:r>
              <w:rPr>
                <w:rFonts w:hint="eastAsia" w:ascii="仿宋_GB2312" w:hAnsi="宋体" w:eastAsia="仿宋_GB2312" w:cs="宋体"/>
                <w:b w:val="0"/>
                <w:bCs w:val="0"/>
                <w:color w:val="auto"/>
                <w:kern w:val="0"/>
                <w:szCs w:val="21"/>
                <w:u w:val="none"/>
              </w:rPr>
              <w:t>区级以上医院危重病证明书，本市户籍照顾（监护）人户口簿，委托监护公证书</w:t>
            </w:r>
            <w:r>
              <w:rPr>
                <w:rFonts w:hint="eastAsia" w:ascii="仿宋_GB2312" w:hAnsi="宋体" w:eastAsia="仿宋_GB2312" w:cs="宋体"/>
                <w:b w:val="0"/>
                <w:bCs w:val="0"/>
                <w:color w:val="auto"/>
                <w:kern w:val="0"/>
                <w:szCs w:val="21"/>
                <w:u w:val="none"/>
                <w:lang w:eastAsia="zh-CN"/>
              </w:rPr>
              <w:t>，</w:t>
            </w:r>
            <w:r>
              <w:rPr>
                <w:rFonts w:hint="eastAsia" w:ascii="仿宋_GB2312" w:hAnsi="宋体" w:eastAsia="仿宋_GB2312" w:cs="宋体"/>
                <w:b w:val="0"/>
                <w:bCs w:val="0"/>
                <w:color w:val="auto"/>
                <w:kern w:val="0"/>
                <w:szCs w:val="21"/>
                <w:u w:val="none"/>
                <w:lang w:val="en-US" w:eastAsia="zh-CN"/>
              </w:rPr>
              <w:t>公安机关或政府部门颁发见义勇为证书</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7"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szCs w:val="21"/>
                <w:u w:val="none"/>
              </w:rPr>
              <w:t>6</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符合《教育部国家发展改革委财政部关于进藏干部职工子女内地就学享受当地生源同等待遇的意见》规定的进藏干部职工适龄子女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子女与父母（或一方）同户的户口簿或子女与父母关系确认材料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教育部门向进藏干部派出单位确认核查身份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blHeader/>
          <w:jc w:val="center"/>
        </w:trPr>
        <w:tc>
          <w:tcPr>
            <w:tcW w:w="454" w:type="dxa"/>
            <w:tcBorders>
              <w:top w:val="single" w:color="auto" w:sz="4" w:space="0"/>
              <w:left w:val="single" w:color="auto" w:sz="4" w:space="0"/>
              <w:right w:val="single" w:color="auto" w:sz="4" w:space="0"/>
            </w:tcBorders>
            <w:noWrap w:val="0"/>
            <w:vAlign w:val="center"/>
          </w:tcPr>
          <w:p>
            <w:pPr>
              <w:pStyle w:val="18"/>
              <w:widowControl/>
              <w:adjustRightInd w:val="0"/>
              <w:snapToGrid w:val="0"/>
              <w:spacing w:line="300" w:lineRule="exact"/>
              <w:jc w:val="center"/>
              <w:rPr>
                <w:rFonts w:hint="eastAsia" w:ascii="仿宋_GB2312" w:eastAsia="仿宋_GB2312"/>
                <w:b w:val="0"/>
                <w:bCs w:val="0"/>
                <w:color w:val="auto"/>
                <w:szCs w:val="21"/>
                <w:u w:val="none"/>
              </w:rPr>
            </w:pPr>
            <w:r>
              <w:rPr>
                <w:rFonts w:hint="eastAsia" w:ascii="黑体" w:hAnsi="黑体" w:eastAsia="黑体"/>
                <w:b w:val="0"/>
                <w:bCs w:val="0"/>
                <w:color w:val="auto"/>
                <w:kern w:val="0"/>
                <w:szCs w:val="21"/>
                <w:u w:val="none"/>
              </w:rPr>
              <w:t>序号</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jc w:val="center"/>
              <w:rPr>
                <w:rFonts w:hint="eastAsia" w:ascii="仿宋_GB2312" w:hAnsi="宋体" w:eastAsia="仿宋_GB2312" w:cs="宋体"/>
                <w:b w:val="0"/>
                <w:bCs w:val="0"/>
                <w:color w:val="auto"/>
                <w:szCs w:val="21"/>
                <w:u w:val="none"/>
              </w:rPr>
            </w:pPr>
            <w:r>
              <w:rPr>
                <w:rFonts w:hint="eastAsia" w:ascii="黑体" w:hAnsi="黑体" w:eastAsia="黑体"/>
                <w:b w:val="0"/>
                <w:bCs w:val="0"/>
                <w:color w:val="auto"/>
                <w:kern w:val="0"/>
                <w:szCs w:val="21"/>
                <w:u w:val="none"/>
                <w:lang w:val="en-US" w:eastAsia="zh-CN"/>
              </w:rPr>
              <w:t>认定</w:t>
            </w:r>
            <w:r>
              <w:rPr>
                <w:rFonts w:hint="eastAsia" w:ascii="黑体" w:hAnsi="黑体" w:eastAsia="黑体"/>
                <w:b w:val="0"/>
                <w:bCs w:val="0"/>
                <w:color w:val="auto"/>
                <w:kern w:val="0"/>
                <w:szCs w:val="21"/>
                <w:u w:val="none"/>
              </w:rPr>
              <w:t>条件</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hAnsi="宋体" w:eastAsia="仿宋_GB2312" w:cs="宋体"/>
                <w:b w:val="0"/>
                <w:bCs w:val="0"/>
                <w:color w:val="auto"/>
                <w:kern w:val="0"/>
                <w:szCs w:val="21"/>
                <w:u w:val="none"/>
              </w:rPr>
            </w:pPr>
            <w:r>
              <w:rPr>
                <w:rFonts w:hint="eastAsia" w:ascii="黑体" w:hAnsi="黑体" w:eastAsia="黑体"/>
                <w:b w:val="0"/>
                <w:bCs w:val="0"/>
                <w:color w:val="auto"/>
                <w:kern w:val="0"/>
                <w:szCs w:val="21"/>
                <w:u w:val="none"/>
              </w:rPr>
              <w:t>报名提交基本材料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黑体" w:hAnsi="黑体" w:eastAsia="黑体"/>
                <w:b w:val="0"/>
                <w:bCs w:val="0"/>
                <w:color w:val="auto"/>
                <w:kern w:val="0"/>
                <w:szCs w:val="21"/>
                <w:u w:val="none"/>
              </w:rPr>
              <w:t>部门核查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6" w:hRule="atLeast"/>
          <w:jc w:val="center"/>
        </w:trPr>
        <w:tc>
          <w:tcPr>
            <w:tcW w:w="454" w:type="dxa"/>
            <w:tcBorders>
              <w:top w:val="single" w:color="auto" w:sz="4" w:space="0"/>
              <w:left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szCs w:val="21"/>
                <w:u w:val="none"/>
              </w:rPr>
              <w:t>7</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szCs w:val="21"/>
                <w:u w:val="none"/>
              </w:rPr>
            </w:pPr>
            <w:r>
              <w:rPr>
                <w:rFonts w:hint="eastAsia" w:ascii="仿宋_GB2312" w:hAnsi="宋体" w:eastAsia="仿宋_GB2312" w:cs="宋体"/>
                <w:b w:val="0"/>
                <w:bCs w:val="0"/>
                <w:color w:val="auto"/>
                <w:szCs w:val="21"/>
                <w:u w:val="none"/>
              </w:rPr>
              <w:t>在本市全职在职工作，持优粤佛山卡A卡或B卡的人才适龄子女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有效期内居住证，《佛山市人才子女</w:t>
            </w:r>
            <w:r>
              <w:rPr>
                <w:rFonts w:hint="eastAsia" w:ascii="仿宋_GB2312" w:hAnsi="宋体" w:eastAsia="仿宋_GB2312" w:cs="宋体"/>
                <w:b w:val="0"/>
                <w:bCs w:val="0"/>
                <w:color w:val="auto"/>
                <w:kern w:val="0"/>
                <w:szCs w:val="21"/>
                <w:u w:val="none"/>
                <w:lang w:val="en-US" w:eastAsia="zh-CN"/>
              </w:rPr>
              <w:t>入</w:t>
            </w:r>
            <w:r>
              <w:rPr>
                <w:rFonts w:hint="eastAsia" w:ascii="仿宋_GB2312" w:hAnsi="宋体" w:eastAsia="仿宋_GB2312" w:cs="宋体"/>
                <w:b w:val="0"/>
                <w:bCs w:val="0"/>
                <w:color w:val="auto"/>
                <w:kern w:val="0"/>
                <w:szCs w:val="21"/>
                <w:u w:val="none"/>
              </w:rPr>
              <w:t>学服务申请表》；子女与父母（或一方）同户的户口簿或子女与父母关系确认材料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教育部门统一向市人力资源社会保障局确认核查身份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7" w:hRule="atLeast"/>
          <w:jc w:val="center"/>
        </w:trPr>
        <w:tc>
          <w:tcPr>
            <w:tcW w:w="454" w:type="dxa"/>
            <w:tcBorders>
              <w:left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8</w:t>
            </w:r>
          </w:p>
        </w:tc>
        <w:tc>
          <w:tcPr>
            <w:tcW w:w="3062" w:type="dxa"/>
            <w:tcBorders>
              <w:top w:val="single" w:color="auto" w:sz="4" w:space="0"/>
              <w:left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本市博士后在站人士适龄子女</w:t>
            </w:r>
          </w:p>
        </w:tc>
        <w:tc>
          <w:tcPr>
            <w:tcW w:w="2942" w:type="dxa"/>
            <w:tcBorders>
              <w:top w:val="single" w:color="auto" w:sz="4" w:space="0"/>
              <w:left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有效期内居住证，《佛山市人才子女</w:t>
            </w:r>
            <w:r>
              <w:rPr>
                <w:rFonts w:hint="eastAsia" w:ascii="仿宋_GB2312" w:hAnsi="宋体" w:eastAsia="仿宋_GB2312" w:cs="宋体"/>
                <w:b w:val="0"/>
                <w:bCs w:val="0"/>
                <w:color w:val="auto"/>
                <w:kern w:val="0"/>
                <w:szCs w:val="21"/>
                <w:u w:val="none"/>
                <w:lang w:val="en-US" w:eastAsia="zh-CN"/>
              </w:rPr>
              <w:t>入</w:t>
            </w:r>
            <w:r>
              <w:rPr>
                <w:rFonts w:hint="eastAsia" w:ascii="仿宋_GB2312" w:hAnsi="宋体" w:eastAsia="仿宋_GB2312" w:cs="宋体"/>
                <w:b w:val="0"/>
                <w:bCs w:val="0"/>
                <w:color w:val="auto"/>
                <w:kern w:val="0"/>
                <w:szCs w:val="21"/>
                <w:u w:val="none"/>
              </w:rPr>
              <w:t>学服务申请表》，子女与父母（或一方）同户的户口簿或子女与父母关系确认材料</w:t>
            </w:r>
          </w:p>
        </w:tc>
        <w:tc>
          <w:tcPr>
            <w:tcW w:w="2131" w:type="dxa"/>
            <w:tcBorders>
              <w:top w:val="single" w:color="auto" w:sz="4" w:space="0"/>
              <w:left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教育部门统一向市人力资源社会保障局确认核查身份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3" w:hRule="atLeast"/>
          <w:jc w:val="center"/>
        </w:trPr>
        <w:tc>
          <w:tcPr>
            <w:tcW w:w="454" w:type="dxa"/>
            <w:tcBorders>
              <w:left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szCs w:val="21"/>
                <w:u w:val="none"/>
              </w:rPr>
            </w:pPr>
            <w:r>
              <w:rPr>
                <w:rFonts w:hint="eastAsia" w:ascii="仿宋_GB2312" w:eastAsia="仿宋_GB2312"/>
                <w:b w:val="0"/>
                <w:bCs w:val="0"/>
                <w:color w:val="auto"/>
                <w:szCs w:val="21"/>
                <w:u w:val="none"/>
              </w:rPr>
              <w:t>9</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在本市全职在职工作，按规定引进的具有博士学位或副高及以上专业技术职称，持优粤佛山卡C卡的人才适龄子女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有效期内居住证，《佛山市人才子女</w:t>
            </w:r>
            <w:r>
              <w:rPr>
                <w:rFonts w:hint="eastAsia" w:ascii="仿宋_GB2312" w:hAnsi="宋体" w:eastAsia="仿宋_GB2312" w:cs="宋体"/>
                <w:b w:val="0"/>
                <w:bCs w:val="0"/>
                <w:color w:val="auto"/>
                <w:kern w:val="0"/>
                <w:szCs w:val="21"/>
                <w:u w:val="none"/>
                <w:lang w:val="en-US" w:eastAsia="zh-CN"/>
              </w:rPr>
              <w:t>入</w:t>
            </w:r>
            <w:r>
              <w:rPr>
                <w:rFonts w:hint="eastAsia" w:ascii="仿宋_GB2312" w:hAnsi="宋体" w:eastAsia="仿宋_GB2312" w:cs="宋体"/>
                <w:b w:val="0"/>
                <w:bCs w:val="0"/>
                <w:color w:val="auto"/>
                <w:kern w:val="0"/>
                <w:szCs w:val="21"/>
                <w:u w:val="none"/>
              </w:rPr>
              <w:t>学服务申请表》，子女与父母（或一方）同户的户口簿或子女与父母关系确认材料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教育部门统一向市人力资源社会保障局确认核查身份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2" w:hRule="atLeast"/>
          <w:jc w:val="center"/>
        </w:trPr>
        <w:tc>
          <w:tcPr>
            <w:tcW w:w="454" w:type="dxa"/>
            <w:tcBorders>
              <w:left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10</w:t>
            </w:r>
          </w:p>
        </w:tc>
        <w:tc>
          <w:tcPr>
            <w:tcW w:w="3062" w:type="dxa"/>
            <w:tcBorders>
              <w:top w:val="single" w:color="auto" w:sz="4" w:space="0"/>
              <w:left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在本市全职在职工作或在本市居住，持广东省人才优粤卡A卡或B卡的人才适龄子女</w:t>
            </w:r>
          </w:p>
        </w:tc>
        <w:tc>
          <w:tcPr>
            <w:tcW w:w="2942" w:type="dxa"/>
            <w:tcBorders>
              <w:top w:val="single" w:color="auto" w:sz="4" w:space="0"/>
              <w:left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有效期内居住证，省人才服务主管部门核发的人才“优粤卡”，子女与父母（或一方）同户的户口簿或子女与父母关系确认材料</w:t>
            </w:r>
          </w:p>
        </w:tc>
        <w:tc>
          <w:tcPr>
            <w:tcW w:w="2131" w:type="dxa"/>
            <w:tcBorders>
              <w:top w:val="single" w:color="auto" w:sz="4" w:space="0"/>
              <w:left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szCs w:val="21"/>
                <w:u w:val="none"/>
              </w:rPr>
            </w:pPr>
            <w:r>
              <w:rPr>
                <w:rFonts w:hint="eastAsia" w:ascii="仿宋_GB2312" w:eastAsia="仿宋_GB2312"/>
                <w:b w:val="0"/>
                <w:bCs w:val="0"/>
                <w:color w:val="auto"/>
                <w:szCs w:val="21"/>
                <w:u w:val="none"/>
              </w:rPr>
              <w:t>11</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在本市全职在职工作，经认定（或评定）为领军人才的适龄子女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教育部门统一向市人力资源社会保障局确认核查身份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szCs w:val="21"/>
                <w:u w:val="none"/>
              </w:rPr>
            </w:pPr>
            <w:r>
              <w:rPr>
                <w:rFonts w:hint="eastAsia" w:ascii="仿宋_GB2312" w:eastAsia="仿宋_GB2312"/>
                <w:b w:val="0"/>
                <w:bCs w:val="0"/>
                <w:color w:val="auto"/>
                <w:szCs w:val="21"/>
                <w:u w:val="none"/>
              </w:rPr>
              <w:t>12</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本市区级以上政府认可的有突出贡献的非户籍人士适龄子女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有效期内居住证，荣誉市民证书或区政府认可的证明，与父母（或一方）同户的户口簿或子女与父母关系确认材料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8"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1</w:t>
            </w:r>
            <w:r>
              <w:rPr>
                <w:rFonts w:hint="eastAsia" w:ascii="仿宋_GB2312" w:eastAsia="仿宋_GB2312"/>
                <w:b w:val="0"/>
                <w:bCs w:val="0"/>
                <w:color w:val="auto"/>
                <w:kern w:val="0"/>
                <w:szCs w:val="21"/>
                <w:u w:val="none"/>
                <w:lang w:val="en-US" w:eastAsia="zh-CN"/>
              </w:rPr>
              <w:t>3</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在本市居住的华侨人士适龄子女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有效期内居住证，委托监护照顾的还需提供监护人户口簿及委托监护公证，子女与父母关系确认材料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hAnsi="宋体" w:eastAsia="仿宋_GB2312" w:cs="宋体"/>
                <w:b w:val="0"/>
                <w:bCs w:val="0"/>
                <w:color w:val="auto"/>
                <w:kern w:val="0"/>
                <w:szCs w:val="21"/>
                <w:u w:val="none"/>
              </w:rPr>
              <w:t>教育部门向申请人收取有效的《中华人民共和国护照》复印件；国外长期或永久居留证明（含中文翻译件）及中国驻外使领馆认证或公证文书复印件，并核对原件无误后向区侨务、外事部门确认核查身份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3"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1</w:t>
            </w:r>
            <w:r>
              <w:rPr>
                <w:rFonts w:hint="eastAsia" w:ascii="仿宋_GB2312" w:eastAsia="仿宋_GB2312"/>
                <w:b w:val="0"/>
                <w:bCs w:val="0"/>
                <w:color w:val="auto"/>
                <w:kern w:val="0"/>
                <w:szCs w:val="21"/>
                <w:u w:val="none"/>
                <w:lang w:val="en-US" w:eastAsia="zh-CN"/>
              </w:rPr>
              <w:t>4</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在本市居住的台湾人士适龄子女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有效期内的《中华人民共和国台湾居民居住证》或5年期《台湾居民来往大陆通行证》，其中只提供5年期《台湾居民来往大陆通行证》的，还需同时提交父母在本市居住的有关证明；委托监护照顾的还需提供监护人户口簿及委托监护公证；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 w:val="20"/>
                <w:szCs w:val="20"/>
                <w:u w:val="none"/>
              </w:rPr>
            </w:pPr>
            <w:r>
              <w:rPr>
                <w:rFonts w:hint="eastAsia" w:ascii="仿宋_GB2312" w:eastAsia="仿宋_GB2312"/>
                <w:b w:val="0"/>
                <w:bCs w:val="0"/>
                <w:color w:val="auto"/>
                <w:kern w:val="0"/>
                <w:sz w:val="20"/>
                <w:szCs w:val="20"/>
                <w:u w:val="none"/>
              </w:rPr>
              <w:t>区教育部门整理相关基本情况表（包括学生姓名、性别、出生日期、证件类型及号码、家长或监护人姓名、性别、出生日期、工作单位及职务、台湾居住地等），附佐证材料复印件，向区台湾事务部门确认核查身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9"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szCs w:val="21"/>
                <w:u w:val="none"/>
              </w:rPr>
              <w:t>1</w:t>
            </w:r>
            <w:r>
              <w:rPr>
                <w:rFonts w:hint="eastAsia" w:ascii="仿宋_GB2312" w:eastAsia="仿宋_GB2312"/>
                <w:b w:val="0"/>
                <w:bCs w:val="0"/>
                <w:color w:val="auto"/>
                <w:szCs w:val="21"/>
                <w:u w:val="none"/>
                <w:lang w:val="en-US" w:eastAsia="zh-CN"/>
              </w:rPr>
              <w:t>5</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在本市同一区内连续居住并依法缴纳社会保险费满5年以上（含5年），有固定住址、有合法就业或经营证明的非户籍人士适龄子女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在同一区内连续5年有效期居住证（或连续5年营业执照</w:t>
            </w:r>
            <w:r>
              <w:rPr>
                <w:rFonts w:hint="eastAsia" w:ascii="仿宋_GB2312" w:hAnsi="宋体" w:eastAsia="仿宋_GB2312" w:cs="宋体"/>
                <w:b w:val="0"/>
                <w:bCs w:val="0"/>
                <w:color w:val="auto"/>
                <w:kern w:val="0"/>
                <w:szCs w:val="21"/>
                <w:u w:val="none"/>
                <w:lang w:eastAsia="zh-CN"/>
              </w:rPr>
              <w:t>，或</w:t>
            </w:r>
            <w:r>
              <w:rPr>
                <w:rFonts w:hint="eastAsia" w:ascii="仿宋_GB2312" w:hAnsi="宋体" w:eastAsia="仿宋_GB2312" w:cs="宋体"/>
                <w:b w:val="0"/>
                <w:bCs w:val="0"/>
                <w:color w:val="auto"/>
                <w:kern w:val="0"/>
                <w:szCs w:val="21"/>
                <w:u w:val="none"/>
              </w:rPr>
              <w:t>连续5年依法纳税证明），在同一区缴纳社保连续5年以上证明，子女与父母（或一方）同户的户口簿或子女与父母关系确认材料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考生可在报名页面登记家长办理社保及居住证的姓名、身份信息，市教育局和职能部门网上联合审核，如审核通过则无需提供居住证或社保纸质材料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1</w:t>
            </w:r>
            <w:r>
              <w:rPr>
                <w:rFonts w:hint="eastAsia" w:ascii="仿宋_GB2312" w:eastAsia="仿宋_GB2312"/>
                <w:b w:val="0"/>
                <w:bCs w:val="0"/>
                <w:color w:val="auto"/>
                <w:kern w:val="0"/>
                <w:szCs w:val="21"/>
                <w:u w:val="none"/>
                <w:lang w:val="en-US" w:eastAsia="zh-CN"/>
              </w:rPr>
              <w:t>6</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父母一方是本市户籍的非户籍适龄子女</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父（母）本市户籍户口簿，子女与非本市户籍的父母一方同户的户口簿，出生医学证明</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6"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rPr>
              <w:t>1</w:t>
            </w:r>
            <w:r>
              <w:rPr>
                <w:rFonts w:hint="eastAsia" w:ascii="仿宋_GB2312" w:eastAsia="仿宋_GB2312"/>
                <w:b w:val="0"/>
                <w:bCs w:val="0"/>
                <w:color w:val="auto"/>
                <w:kern w:val="0"/>
                <w:szCs w:val="21"/>
                <w:u w:val="none"/>
                <w:lang w:val="en-US" w:eastAsia="zh-CN"/>
              </w:rPr>
              <w:t>7</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在本市具有合法稳定职业、合法稳定住所并连续3年以上持有我市居住证、在我市参加社会保险累计3年以上的进城务工和港澳人员，其子女在我市具有初中阶段3年完整学籍的应届毕业生</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rPr>
              <w:t>在佛山市内（可跨区）：连续3年有效期居住证，缴纳社保累计3年证明。子女与父母（或一方）同户的户口簿或子女与父母关系确认材料</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 w:val="20"/>
                <w:szCs w:val="20"/>
                <w:u w:val="none"/>
              </w:rPr>
              <w:t>考生可在报名页面登记家长办理社保及居住证的姓名、身份信息，市教育局和职能部门网上联合审核，如审核通过则无需提供居住证或社保纸质材料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6" w:hRule="atLeast"/>
          <w:jc w:val="center"/>
        </w:trPr>
        <w:tc>
          <w:tcPr>
            <w:tcW w:w="454"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jc w:val="center"/>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lang w:val="en-US" w:eastAsia="zh-CN"/>
              </w:rPr>
              <w:t>18</w:t>
            </w:r>
          </w:p>
        </w:tc>
        <w:tc>
          <w:tcPr>
            <w:tcW w:w="306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lang w:eastAsia="zh-CN"/>
              </w:rPr>
              <w:t>符合《粤港澳大湾区发展规划纲要》规定，在本市</w:t>
            </w:r>
            <w:r>
              <w:rPr>
                <w:rFonts w:hint="eastAsia" w:ascii="仿宋_GB2312" w:hAnsi="宋体" w:eastAsia="仿宋_GB2312" w:cs="宋体"/>
                <w:b w:val="0"/>
                <w:bCs w:val="0"/>
                <w:color w:val="auto"/>
                <w:kern w:val="0"/>
                <w:szCs w:val="21"/>
                <w:u w:val="none"/>
              </w:rPr>
              <w:t>工作生活的港澳居民子女</w:t>
            </w:r>
            <w:r>
              <w:rPr>
                <w:rFonts w:hint="eastAsia" w:ascii="仿宋_GB2312" w:hAnsi="宋体" w:eastAsia="仿宋_GB2312" w:cs="宋体"/>
                <w:b w:val="0"/>
                <w:bCs w:val="0"/>
                <w:color w:val="auto"/>
                <w:kern w:val="0"/>
                <w:szCs w:val="21"/>
                <w:u w:val="none"/>
                <w:lang w:eastAsia="zh-CN"/>
              </w:rPr>
              <w:t>，并在我市初中学校实际就读的香港、澳门学生</w:t>
            </w:r>
          </w:p>
        </w:tc>
        <w:tc>
          <w:tcPr>
            <w:tcW w:w="2942" w:type="dxa"/>
            <w:tcBorders>
              <w:top w:val="single" w:color="auto" w:sz="4" w:space="0"/>
              <w:left w:val="single" w:color="auto" w:sz="4" w:space="0"/>
              <w:bottom w:val="single" w:color="auto" w:sz="4" w:space="0"/>
              <w:right w:val="single" w:color="auto" w:sz="4" w:space="0"/>
            </w:tcBorders>
            <w:noWrap w:val="0"/>
            <w:vAlign w:val="center"/>
          </w:tcPr>
          <w:p>
            <w:pPr>
              <w:pStyle w:val="18"/>
              <w:widowControl/>
              <w:adjustRightInd w:val="0"/>
              <w:snapToGrid w:val="0"/>
              <w:spacing w:line="300" w:lineRule="exact"/>
              <w:rPr>
                <w:rFonts w:hint="eastAsia" w:ascii="仿宋_GB2312" w:hAnsi="宋体" w:eastAsia="仿宋_GB2312" w:cs="宋体"/>
                <w:b w:val="0"/>
                <w:bCs w:val="0"/>
                <w:color w:val="auto"/>
                <w:kern w:val="0"/>
                <w:szCs w:val="21"/>
                <w:u w:val="none"/>
              </w:rPr>
            </w:pPr>
            <w:r>
              <w:rPr>
                <w:rFonts w:hint="eastAsia" w:ascii="仿宋_GB2312" w:hAnsi="宋体" w:eastAsia="仿宋_GB2312" w:cs="宋体"/>
                <w:b w:val="0"/>
                <w:bCs w:val="0"/>
                <w:color w:val="auto"/>
                <w:kern w:val="0"/>
                <w:szCs w:val="21"/>
                <w:u w:val="none"/>
                <w:lang w:val="en-US" w:eastAsia="zh-CN"/>
              </w:rPr>
              <w:t>家长一方和</w:t>
            </w:r>
            <w:r>
              <w:rPr>
                <w:rFonts w:hint="eastAsia" w:ascii="仿宋_GB2312" w:hAnsi="宋体" w:eastAsia="仿宋_GB2312" w:cs="宋体"/>
                <w:b w:val="0"/>
                <w:bCs w:val="0"/>
                <w:color w:val="auto"/>
                <w:kern w:val="0"/>
                <w:szCs w:val="21"/>
                <w:u w:val="none"/>
                <w:lang w:eastAsia="zh-CN"/>
              </w:rPr>
              <w:t>学生持有香港或澳门居民身份证，同时持有《港澳</w:t>
            </w:r>
            <w:r>
              <w:rPr>
                <w:rFonts w:hint="eastAsia" w:ascii="仿宋_GB2312" w:hAnsi="宋体" w:eastAsia="仿宋_GB2312" w:cs="宋体"/>
                <w:b w:val="0"/>
                <w:bCs w:val="0"/>
                <w:color w:val="auto"/>
                <w:kern w:val="0"/>
                <w:szCs w:val="21"/>
                <w:u w:val="none"/>
                <w:lang w:val="en-US" w:eastAsia="zh-CN"/>
              </w:rPr>
              <w:t>居</w:t>
            </w:r>
            <w:r>
              <w:rPr>
                <w:rFonts w:hint="eastAsia" w:ascii="仿宋_GB2312" w:hAnsi="宋体" w:eastAsia="仿宋_GB2312" w:cs="宋体"/>
                <w:b w:val="0"/>
                <w:bCs w:val="0"/>
                <w:color w:val="auto"/>
                <w:kern w:val="0"/>
                <w:szCs w:val="21"/>
                <w:u w:val="none"/>
                <w:lang w:eastAsia="zh-CN"/>
              </w:rPr>
              <w:t>民来往内地通行证》或《港澳居民居住证》；</w:t>
            </w:r>
            <w:r>
              <w:rPr>
                <w:rFonts w:hint="eastAsia" w:ascii="仿宋_GB2312" w:hAnsi="宋体" w:eastAsia="仿宋_GB2312" w:cs="宋体"/>
                <w:b w:val="0"/>
                <w:bCs w:val="0"/>
                <w:color w:val="auto"/>
                <w:kern w:val="0"/>
                <w:szCs w:val="21"/>
                <w:u w:val="none"/>
                <w:lang w:val="en-US" w:eastAsia="zh-CN"/>
              </w:rPr>
              <w:t>学生</w:t>
            </w:r>
            <w:r>
              <w:rPr>
                <w:rFonts w:hint="eastAsia" w:ascii="仿宋_GB2312" w:hAnsi="宋体" w:eastAsia="仿宋_GB2312" w:cs="宋体"/>
                <w:b w:val="0"/>
                <w:bCs w:val="0"/>
                <w:color w:val="auto"/>
                <w:kern w:val="0"/>
                <w:szCs w:val="21"/>
                <w:u w:val="none"/>
                <w:lang w:eastAsia="zh-CN"/>
              </w:rPr>
              <w:t>出生证明书，</w:t>
            </w:r>
            <w:r>
              <w:rPr>
                <w:rFonts w:hint="eastAsia" w:ascii="仿宋_GB2312" w:hAnsi="仿宋_GB2312" w:eastAsia="仿宋_GB2312" w:cs="仿宋_GB2312"/>
                <w:b w:val="0"/>
                <w:bCs w:val="0"/>
                <w:szCs w:val="21"/>
                <w:u w:val="none"/>
                <w:lang w:val="en-US" w:eastAsia="zh-CN"/>
              </w:rPr>
              <w:t>家长一方</w:t>
            </w:r>
            <w:r>
              <w:rPr>
                <w:rFonts w:hint="eastAsia" w:ascii="仿宋_GB2312" w:hAnsi="宋体" w:eastAsia="仿宋_GB2312" w:cs="宋体"/>
                <w:b w:val="0"/>
                <w:bCs w:val="0"/>
                <w:color w:val="auto"/>
                <w:kern w:val="0"/>
                <w:szCs w:val="21"/>
                <w:u w:val="none"/>
                <w:lang w:val="en-US" w:eastAsia="zh-CN"/>
              </w:rPr>
              <w:t>在本市纳税或缴纳社保证明</w:t>
            </w:r>
          </w:p>
        </w:tc>
        <w:tc>
          <w:tcPr>
            <w:tcW w:w="2131" w:type="dxa"/>
            <w:tcBorders>
              <w:top w:val="single" w:color="auto" w:sz="4" w:space="0"/>
              <w:left w:val="single" w:color="auto" w:sz="4" w:space="0"/>
              <w:bottom w:val="single" w:color="auto" w:sz="4" w:space="0"/>
              <w:right w:val="single" w:color="auto" w:sz="4" w:space="0"/>
            </w:tcBorders>
            <w:noWrap w:val="0"/>
            <w:vAlign w:val="center"/>
          </w:tcPr>
          <w:p>
            <w:pPr>
              <w:pStyle w:val="18"/>
              <w:adjustRightInd w:val="0"/>
              <w:snapToGrid w:val="0"/>
              <w:spacing w:line="300" w:lineRule="exact"/>
              <w:rPr>
                <w:rFonts w:hint="eastAsia" w:ascii="仿宋_GB2312" w:eastAsia="仿宋_GB2312"/>
                <w:b w:val="0"/>
                <w:bCs w:val="0"/>
                <w:color w:val="auto"/>
                <w:kern w:val="0"/>
                <w:szCs w:val="21"/>
                <w:u w:val="none"/>
              </w:rPr>
            </w:pPr>
            <w:r>
              <w:rPr>
                <w:rFonts w:hint="eastAsia" w:ascii="仿宋_GB2312" w:eastAsia="仿宋_GB2312"/>
                <w:b w:val="0"/>
                <w:bCs w:val="0"/>
                <w:color w:val="auto"/>
                <w:kern w:val="0"/>
                <w:szCs w:val="21"/>
                <w:u w:val="none"/>
                <w:lang w:eastAsia="zh-CN"/>
              </w:rPr>
              <w:t>区教育部门核查学籍系统信息，确认考生是否在我市实际就读</w:t>
            </w:r>
          </w:p>
        </w:tc>
      </w:tr>
    </w:tbl>
    <w:p>
      <w:pPr>
        <w:snapToGrid/>
        <w:spacing w:line="240" w:lineRule="auto"/>
        <w:jc w:val="both"/>
        <w:rPr>
          <w:rFonts w:hint="eastAsia" w:ascii="仿宋_GB2312" w:hAnsi="仿宋_GB2312" w:eastAsia="仿宋_GB2312" w:cs="仿宋_GB2312"/>
          <w:sz w:val="24"/>
          <w:szCs w:val="24"/>
        </w:rPr>
      </w:pPr>
    </w:p>
    <w:p>
      <w:pPr>
        <w:snapToGrid/>
        <w:spacing w:line="240" w:lineRule="auto"/>
        <w:jc w:val="both"/>
        <w:rPr>
          <w:rFonts w:hint="eastAsia" w:ascii="仿宋_GB2312" w:hAnsi="仿宋_GB2312" w:eastAsia="仿宋_GB2312" w:cs="仿宋_GB2312"/>
          <w:b w:val="0"/>
          <w:bCs w:val="0"/>
          <w:sz w:val="24"/>
          <w:szCs w:val="24"/>
          <w:u w:val="none"/>
        </w:rPr>
      </w:pPr>
      <w:r>
        <w:rPr>
          <w:rFonts w:hint="eastAsia" w:ascii="仿宋_GB2312" w:hAnsi="仿宋_GB2312" w:eastAsia="仿宋_GB2312" w:cs="仿宋_GB2312"/>
          <w:sz w:val="24"/>
          <w:szCs w:val="24"/>
        </w:rPr>
        <w:t>说明：1.所有证件、证书、证明都必须提供原件和复印件。2.以上未涉及的其他特殊情况由区级教育行政部门根据有关政策予以确定。3.考生及父母需要提供的证明材料，如有调整另行通知，以最新文件为准</w:t>
      </w:r>
      <w:r>
        <w:rPr>
          <w:rFonts w:hint="eastAsia" w:ascii="仿宋_GB2312" w:hAnsi="仿宋_GB2312" w:eastAsia="仿宋_GB2312" w:cs="仿宋_GB2312"/>
          <w:sz w:val="24"/>
          <w:szCs w:val="24"/>
          <w:lang w:eastAsia="zh-CN"/>
        </w:rPr>
        <w:t>。</w:t>
      </w:r>
    </w:p>
    <w:p>
      <w:pPr>
        <w:snapToGrid w:val="0"/>
        <w:spacing w:line="560" w:lineRule="exact"/>
        <w:jc w:val="left"/>
        <w:rPr>
          <w:sz w:val="32"/>
        </w:rPr>
        <w:sectPr>
          <w:footerReference r:id="rId5" w:type="first"/>
          <w:footerReference r:id="rId4" w:type="default"/>
          <w:pgSz w:w="11906" w:h="16838"/>
          <w:pgMar w:top="2098" w:right="1474" w:bottom="1985" w:left="1588" w:header="851" w:footer="992" w:gutter="0"/>
          <w:pgNumType w:fmt="decimal"/>
          <w:cols w:space="720" w:num="1"/>
          <w:docGrid w:type="lines" w:linePitch="312" w:charSpace="0"/>
        </w:sectPr>
      </w:pPr>
    </w:p>
    <w:p>
      <w:pPr>
        <w:snapToGrid w:val="0"/>
        <w:spacing w:line="560" w:lineRule="exact"/>
        <w:jc w:val="left"/>
        <w:rPr>
          <w:sz w:val="32"/>
        </w:rPr>
      </w:pPr>
      <w:r>
        <w:rPr>
          <w:rFonts w:hint="eastAsia" w:ascii="黑体" w:hAnsi="黑体" w:eastAsia="黑体"/>
          <w:spacing w:val="-6"/>
          <w:sz w:val="32"/>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ge">
                  <wp:posOffset>8347075</wp:posOffset>
                </wp:positionV>
                <wp:extent cx="5579745" cy="12700"/>
                <wp:effectExtent l="0" t="4445" r="1905" b="11430"/>
                <wp:wrapTopAndBottom/>
                <wp:docPr id="8" name="直线 15"/>
                <wp:cNvGraphicFramePr/>
                <a:graphic xmlns:a="http://schemas.openxmlformats.org/drawingml/2006/main">
                  <a:graphicData uri="http://schemas.microsoft.com/office/word/2010/wordprocessingShape">
                    <wps:wsp>
                      <wps:cNvCnPr/>
                      <wps:spPr>
                        <a:xfrm>
                          <a:off x="0" y="0"/>
                          <a:ext cx="5579745" cy="127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5" o:spid="_x0000_s1026" o:spt="20" style="position:absolute;left:0pt;margin-left:0pt;margin-top:657.25pt;height:1pt;width:439.35pt;mso-position-vertical-relative:page;mso-wrap-distance-bottom:0pt;mso-wrap-distance-top:0pt;z-index:251667456;mso-width-relative:page;mso-height-relative:page;" filled="f" stroked="t" coordsize="21600,21600" o:gfxdata="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u3Um02AAAAAoBAAAPAAAAAAAAAAEAIAAAADgAAABkcnMv&#10;ZG93bnJldi54bWxQSwECFAAUAAAACACHTuJAlCJKKe0BAADgAwAADgAAAAAAAAABACAAAAA9AQAA&#10;ZHJzL2Uyb0RvYy54bWxQSwUGAAAAAAYABgBZAQAAnAUAAAAA&#10;">
                <v:fill on="f" focussize="0,0"/>
                <v:stroke color="#000000" joinstyle="round"/>
                <v:imagedata o:title=""/>
                <o:lock v:ext="edit" aspectratio="f"/>
                <w10:wrap type="topAndBottom"/>
              </v:line>
            </w:pict>
          </mc:Fallback>
        </mc:AlternateContent>
      </w:r>
      <w:r>
        <w:rPr>
          <w:rFonts w:hint="eastAsia" w:ascii="黑体" w:hAnsi="黑体" w:eastAsia="黑体"/>
          <w:spacing w:val="-6"/>
          <w:sz w:val="32"/>
        </w:rPr>
        <mc:AlternateContent>
          <mc:Choice Requires="wps">
            <w:drawing>
              <wp:anchor distT="0" distB="0" distL="114300" distR="114300" simplePos="0" relativeHeight="251666432" behindDoc="0" locked="0" layoutInCell="0" allowOverlap="1">
                <wp:simplePos x="0" y="0"/>
                <wp:positionH relativeFrom="margin">
                  <wp:posOffset>201930</wp:posOffset>
                </wp:positionH>
                <wp:positionV relativeFrom="page">
                  <wp:posOffset>8340725</wp:posOffset>
                </wp:positionV>
                <wp:extent cx="5200650" cy="732155"/>
                <wp:effectExtent l="0" t="0" r="0" b="0"/>
                <wp:wrapTopAndBottom/>
                <wp:docPr id="7" name="文本框 14"/>
                <wp:cNvGraphicFramePr/>
                <a:graphic xmlns:a="http://schemas.openxmlformats.org/drawingml/2006/main">
                  <a:graphicData uri="http://schemas.microsoft.com/office/word/2010/wordprocessingShape">
                    <wps:wsp>
                      <wps:cNvSpPr txBox="1"/>
                      <wps:spPr>
                        <a:xfrm>
                          <a:off x="0" y="0"/>
                          <a:ext cx="5200650" cy="732155"/>
                        </a:xfrm>
                        <a:prstGeom prst="rect">
                          <a:avLst/>
                        </a:prstGeom>
                        <a:noFill/>
                        <a:ln>
                          <a:noFill/>
                        </a:ln>
                      </wps:spPr>
                      <wps:txbx>
                        <w:txbxContent>
                          <w:p>
                            <w:pPr>
                              <w:spacing w:line="560" w:lineRule="exact"/>
                              <w:ind w:left="868" w:hanging="868"/>
                              <w:rPr>
                                <w:rFonts w:ascii="仿宋_GB2312" w:eastAsia="仿宋_GB2312"/>
                                <w:sz w:val="28"/>
                              </w:rPr>
                            </w:pPr>
                            <w:r>
                              <w:rPr>
                                <w:rFonts w:hint="eastAsia" w:ascii="仿宋_GB2312" w:eastAsia="仿宋_GB2312"/>
                                <w:sz w:val="28"/>
                              </w:rPr>
                              <w:t>抄送：</w:t>
                            </w:r>
                            <w:r>
                              <w:rPr>
                                <w:rFonts w:hint="eastAsia" w:ascii="仿宋_GB2312" w:hAnsi="宋体" w:eastAsia="仿宋_GB2312"/>
                                <w:sz w:val="28"/>
                                <w:szCs w:val="32"/>
                              </w:rPr>
                              <w:t>省教育厅、省教育考试院，市人大办公室、市政府办公室、市政协办公室、市发展和改革局、市人力资源和社会保障局。</w:t>
                            </w:r>
                          </w:p>
                          <w:p>
                            <w:pPr>
                              <w:spacing w:line="560" w:lineRule="exact"/>
                              <w:ind w:left="964" w:hanging="964"/>
                              <w:rPr>
                                <w:rFonts w:hint="eastAsia" w:ascii="仿宋_GB2312" w:eastAsia="仿宋_GB2312"/>
                                <w:sz w:val="32"/>
                              </w:rPr>
                            </w:pPr>
                          </w:p>
                          <w:p>
                            <w:pPr>
                              <w:spacing w:line="560" w:lineRule="exact"/>
                              <w:ind w:left="964" w:hanging="964"/>
                              <w:rPr>
                                <w:rFonts w:ascii="仿宋_GB2312"/>
                                <w:sz w:val="32"/>
                              </w:rPr>
                            </w:pPr>
                          </w:p>
                        </w:txbxContent>
                      </wps:txbx>
                      <wps:bodyPr wrap="square" lIns="0" tIns="0" rIns="0" bIns="0" upright="1"/>
                    </wps:wsp>
                  </a:graphicData>
                </a:graphic>
              </wp:anchor>
            </w:drawing>
          </mc:Choice>
          <mc:Fallback>
            <w:pict>
              <v:shape id="文本框 14" o:spid="_x0000_s1026" o:spt="202" type="#_x0000_t202" style="position:absolute;left:0pt;margin-left:15.9pt;margin-top:656.75pt;height:57.65pt;width:409.5pt;mso-position-horizontal-relative:margin;mso-position-vertical-relative:page;mso-wrap-distance-bottom:0pt;mso-wrap-distance-top:0pt;z-index:251666432;mso-width-relative:page;mso-height-relative:page;" filled="f" stroked="f" coordsize="21600,21600" o:allowincell="f" o:gfxdata="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Axi19TZAAAADAEAAA8AAAAA&#10;AAAAAQAgAAAAOAAAAGRycy9kb3ducmV2LnhtbFBLAQIUABQAAAAIAIdO4kBz9l8jxAEAAIEDAAAO&#10;AAAAAAAAAAEAIAAAAD4BAABkcnMvZTJvRG9jLnhtbFBLBQYAAAAABgAGAFkBAAB0BQAAAAA=&#10;">
                <v:fill on="f" focussize="0,0"/>
                <v:stroke on="f"/>
                <v:imagedata o:title=""/>
                <o:lock v:ext="edit" aspectratio="f"/>
                <v:textbox inset="0mm,0mm,0mm,0mm">
                  <w:txbxContent>
                    <w:p>
                      <w:pPr>
                        <w:spacing w:line="560" w:lineRule="exact"/>
                        <w:ind w:left="868" w:hanging="868"/>
                        <w:rPr>
                          <w:rFonts w:ascii="仿宋_GB2312" w:eastAsia="仿宋_GB2312"/>
                          <w:sz w:val="28"/>
                        </w:rPr>
                      </w:pPr>
                      <w:r>
                        <w:rPr>
                          <w:rFonts w:hint="eastAsia" w:ascii="仿宋_GB2312" w:eastAsia="仿宋_GB2312"/>
                          <w:sz w:val="28"/>
                        </w:rPr>
                        <w:t>抄送：</w:t>
                      </w:r>
                      <w:r>
                        <w:rPr>
                          <w:rFonts w:hint="eastAsia" w:ascii="仿宋_GB2312" w:hAnsi="宋体" w:eastAsia="仿宋_GB2312"/>
                          <w:sz w:val="28"/>
                          <w:szCs w:val="32"/>
                        </w:rPr>
                        <w:t>省教育厅、省教育考试院，市人大办公室、市政府办公室、市政协办公室、市发展和改革局、市人力资源和社会保障局。</w:t>
                      </w:r>
                    </w:p>
                    <w:p>
                      <w:pPr>
                        <w:spacing w:line="560" w:lineRule="exact"/>
                        <w:ind w:left="964" w:hanging="964"/>
                        <w:rPr>
                          <w:rFonts w:hint="eastAsia" w:ascii="仿宋_GB2312" w:eastAsia="仿宋_GB2312"/>
                          <w:sz w:val="32"/>
                        </w:rPr>
                      </w:pPr>
                    </w:p>
                    <w:p>
                      <w:pPr>
                        <w:spacing w:line="560" w:lineRule="exact"/>
                        <w:ind w:left="964" w:hanging="964"/>
                        <w:rPr>
                          <w:rFonts w:ascii="仿宋_GB2312"/>
                          <w:sz w:val="32"/>
                        </w:rPr>
                      </w:pPr>
                    </w:p>
                  </w:txbxContent>
                </v:textbox>
                <w10:wrap type="topAndBottom"/>
              </v:shape>
            </w:pict>
          </mc:Fallback>
        </mc:AlternateContent>
      </w:r>
      <w:r>
        <w:rPr>
          <w:rFonts w:hint="eastAsia" w:ascii="黑体" w:hAnsi="黑体" w:eastAsia="黑体"/>
          <w:spacing w:val="-6"/>
          <w:sz w:val="32"/>
        </w:rPr>
        <mc:AlternateContent>
          <mc:Choice Requires="wps">
            <w:drawing>
              <wp:anchor distT="0" distB="0" distL="114300" distR="114300" simplePos="0" relativeHeight="251664384" behindDoc="0" locked="0" layoutInCell="0" allowOverlap="1">
                <wp:simplePos x="0" y="0"/>
                <wp:positionH relativeFrom="column">
                  <wp:posOffset>200025</wp:posOffset>
                </wp:positionH>
                <wp:positionV relativeFrom="page">
                  <wp:posOffset>9072880</wp:posOffset>
                </wp:positionV>
                <wp:extent cx="3000375" cy="360045"/>
                <wp:effectExtent l="0" t="0" r="0" b="0"/>
                <wp:wrapTopAndBottom/>
                <wp:docPr id="5" name="文本框 6"/>
                <wp:cNvGraphicFramePr/>
                <a:graphic xmlns:a="http://schemas.openxmlformats.org/drawingml/2006/main">
                  <a:graphicData uri="http://schemas.microsoft.com/office/word/2010/wordprocessingShape">
                    <wps:wsp>
                      <wps:cNvSpPr txBox="1"/>
                      <wps:spPr>
                        <a:xfrm>
                          <a:off x="0" y="0"/>
                          <a:ext cx="3000375" cy="360045"/>
                        </a:xfrm>
                        <a:prstGeom prst="rect">
                          <a:avLst/>
                        </a:prstGeom>
                        <a:noFill/>
                        <a:ln>
                          <a:noFill/>
                        </a:ln>
                      </wps:spPr>
                      <wps:txbx>
                        <w:txbxContent>
                          <w:p>
                            <w:pPr>
                              <w:rPr>
                                <w:rFonts w:ascii="仿宋_GB2312" w:eastAsia="仿宋_GB2312"/>
                                <w:sz w:val="32"/>
                              </w:rPr>
                            </w:pPr>
                            <w:r>
                              <w:rPr>
                                <w:rFonts w:hint="eastAsia" w:ascii="仿宋_GB2312" w:eastAsia="仿宋_GB2312"/>
                                <w:sz w:val="28"/>
                                <w:szCs w:val="28"/>
                              </w:rPr>
                              <w:t>佛山市教育局办公室</w:t>
                            </w: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pStyle w:val="2"/>
                              <w:rPr>
                                <w:rFonts w:hint="eastAsia" w:ascii="Times New Roman"/>
                              </w:rPr>
                            </w:pPr>
                          </w:p>
                          <w:p>
                            <w:pPr>
                              <w:pStyle w:val="2"/>
                              <w:rPr>
                                <w:rFonts w:ascii="Times New Roman"/>
                              </w:rPr>
                            </w:pPr>
                          </w:p>
                          <w:p>
                            <w:pPr>
                              <w:rPr>
                                <w:rFonts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rPr>
                            </w:pPr>
                          </w:p>
                          <w:p>
                            <w:pPr>
                              <w:pStyle w:val="2"/>
                              <w:rPr>
                                <w:rFonts w:ascii="Times New Roman"/>
                              </w:rPr>
                            </w:pPr>
                          </w:p>
                          <w:p>
                            <w:pPr>
                              <w:rPr>
                                <w:rFonts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pStyle w:val="2"/>
                              <w:rPr>
                                <w:rFonts w:ascii="Times New Roman"/>
                              </w:rPr>
                            </w:pPr>
                          </w:p>
                        </w:txbxContent>
                      </wps:txbx>
                      <wps:bodyPr wrap="square" lIns="0" tIns="0" rIns="0" bIns="0" upright="1"/>
                    </wps:wsp>
                  </a:graphicData>
                </a:graphic>
              </wp:anchor>
            </w:drawing>
          </mc:Choice>
          <mc:Fallback>
            <w:pict>
              <v:shape id="文本框 6" o:spid="_x0000_s1026" o:spt="202" type="#_x0000_t202" style="position:absolute;left:0pt;margin-left:15.75pt;margin-top:714.4pt;height:28.35pt;width:236.25pt;mso-position-vertical-relative:page;mso-wrap-distance-bottom:0pt;mso-wrap-distance-top:0pt;z-index:251664384;mso-width-relative:page;mso-height-relative:page;" filled="f" stroked="f" coordsize="21600,21600" o:allowincell="f" o:gfxdata="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gSIBTZAAAADAEAAA8AAAAA&#10;AAAAAQAgAAAAOAAAAGRycy9kb3ducmV2LnhtbFBLAQIUABQAAAAIAIdO4kDTeXDvxAEAAIADAAAO&#10;AAAAAAAAAAEAIAAAAD4BAABkcnMvZTJvRG9jLnhtbFBLBQYAAAAABgAGAFkBAAB0BQAAAAA=&#10;">
                <v:fill on="f" focussize="0,0"/>
                <v:stroke on="f"/>
                <v:imagedata o:title=""/>
                <o:lock v:ext="edit" aspectratio="f"/>
                <v:textbox inset="0mm,0mm,0mm,0mm">
                  <w:txbxContent>
                    <w:p>
                      <w:pPr>
                        <w:rPr>
                          <w:rFonts w:ascii="仿宋_GB2312" w:eastAsia="仿宋_GB2312"/>
                          <w:sz w:val="32"/>
                        </w:rPr>
                      </w:pPr>
                      <w:r>
                        <w:rPr>
                          <w:rFonts w:hint="eastAsia" w:ascii="仿宋_GB2312" w:eastAsia="仿宋_GB2312"/>
                          <w:sz w:val="28"/>
                          <w:szCs w:val="28"/>
                        </w:rPr>
                        <w:t>佛山市教育局办公室</w:t>
                      </w: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pStyle w:val="2"/>
                        <w:rPr>
                          <w:rFonts w:hint="eastAsia" w:ascii="Times New Roman"/>
                        </w:rPr>
                      </w:pPr>
                    </w:p>
                    <w:p>
                      <w:pPr>
                        <w:pStyle w:val="2"/>
                        <w:rPr>
                          <w:rFonts w:ascii="Times New Roman"/>
                        </w:rPr>
                      </w:pPr>
                    </w:p>
                    <w:p>
                      <w:pPr>
                        <w:rPr>
                          <w:rFonts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rPr>
                      </w:pPr>
                    </w:p>
                    <w:p>
                      <w:pPr>
                        <w:pStyle w:val="2"/>
                        <w:rPr>
                          <w:rFonts w:ascii="Times New Roman"/>
                        </w:rPr>
                      </w:pPr>
                    </w:p>
                    <w:p>
                      <w:pPr>
                        <w:rPr>
                          <w:rFonts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rPr>
                          <w:rFonts w:hint="eastAsia" w:ascii="仿宋_GB2312" w:eastAsia="仿宋_GB2312"/>
                          <w:sz w:val="32"/>
                        </w:rPr>
                      </w:pPr>
                    </w:p>
                    <w:p>
                      <w:pPr>
                        <w:pStyle w:val="2"/>
                        <w:rPr>
                          <w:rFonts w:ascii="Times New Roman"/>
                        </w:rPr>
                      </w:pPr>
                    </w:p>
                  </w:txbxContent>
                </v:textbox>
                <w10:wrap type="topAndBottom"/>
              </v:shape>
            </w:pict>
          </mc:Fallback>
        </mc:AlternateContent>
      </w:r>
      <w:r>
        <w:rPr>
          <w:rFonts w:hint="eastAsia" w:ascii="黑体" w:hAnsi="黑体" w:eastAsia="黑体"/>
          <w:spacing w:val="-6"/>
          <w:sz w:val="32"/>
        </w:rPr>
        <mc:AlternateContent>
          <mc:Choice Requires="wps">
            <w:drawing>
              <wp:anchor distT="0" distB="0" distL="114300" distR="114300" simplePos="0" relativeHeight="251665408" behindDoc="0" locked="0" layoutInCell="0" allowOverlap="1">
                <wp:simplePos x="0" y="0"/>
                <wp:positionH relativeFrom="column">
                  <wp:posOffset>3200400</wp:posOffset>
                </wp:positionH>
                <wp:positionV relativeFrom="page">
                  <wp:posOffset>9072880</wp:posOffset>
                </wp:positionV>
                <wp:extent cx="2201545" cy="360045"/>
                <wp:effectExtent l="0" t="0" r="0" b="0"/>
                <wp:wrapTopAndBottom/>
                <wp:docPr id="6" name="文本框 7"/>
                <wp:cNvGraphicFramePr/>
                <a:graphic xmlns:a="http://schemas.openxmlformats.org/drawingml/2006/main">
                  <a:graphicData uri="http://schemas.microsoft.com/office/word/2010/wordprocessingShape">
                    <wps:wsp>
                      <wps:cNvSpPr txBox="1"/>
                      <wps:spPr>
                        <a:xfrm>
                          <a:off x="0" y="0"/>
                          <a:ext cx="2201545" cy="360045"/>
                        </a:xfrm>
                        <a:prstGeom prst="rect">
                          <a:avLst/>
                        </a:prstGeom>
                        <a:noFill/>
                        <a:ln>
                          <a:noFill/>
                        </a:ln>
                      </wps:spPr>
                      <wps:txbx>
                        <w:txbxContent>
                          <w:p>
                            <w:pPr>
                              <w:jc w:val="right"/>
                              <w:rPr>
                                <w:rFonts w:ascii="仿宋_GB2312" w:eastAsia="仿宋_GB2312"/>
                                <w:sz w:val="28"/>
                              </w:rPr>
                            </w:pPr>
                            <w:r>
                              <w:rPr>
                                <w:rFonts w:ascii="仿宋_GB2312" w:eastAsia="仿宋_GB2312"/>
                                <w:sz w:val="28"/>
                              </w:rPr>
                              <w:t>20</w:t>
                            </w:r>
                            <w:r>
                              <w:rPr>
                                <w:rFonts w:hint="eastAsia" w:ascii="仿宋_GB2312" w:eastAsia="仿宋_GB2312"/>
                                <w:sz w:val="28"/>
                              </w:rPr>
                              <w:t>2</w:t>
                            </w:r>
                            <w:r>
                              <w:rPr>
                                <w:rFonts w:hint="eastAsia" w:ascii="仿宋_GB2312" w:eastAsia="仿宋_GB2312"/>
                                <w:sz w:val="28"/>
                                <w:lang w:val="en-US" w:eastAsia="zh-CN"/>
                              </w:rPr>
                              <w:t>5</w:t>
                            </w:r>
                            <w:r>
                              <w:rPr>
                                <w:rFonts w:hint="eastAsia" w:ascii="仿宋_GB2312" w:eastAsia="仿宋_GB2312"/>
                                <w:sz w:val="28"/>
                              </w:rPr>
                              <w:t>年</w:t>
                            </w:r>
                            <w:r>
                              <w:rPr>
                                <w:rFonts w:hint="eastAsia" w:ascii="仿宋_GB2312" w:eastAsia="仿宋_GB2312"/>
                                <w:sz w:val="28"/>
                                <w:lang w:val="en-US" w:eastAsia="zh-CN"/>
                              </w:rPr>
                              <w:t>2</w:t>
                            </w:r>
                            <w:r>
                              <w:rPr>
                                <w:rFonts w:hint="eastAsia" w:ascii="仿宋_GB2312" w:eastAsia="仿宋_GB2312"/>
                                <w:sz w:val="28"/>
                              </w:rPr>
                              <w:t>月</w:t>
                            </w:r>
                            <w:r>
                              <w:rPr>
                                <w:rFonts w:hint="eastAsia" w:ascii="仿宋_GB2312" w:eastAsia="仿宋_GB2312"/>
                                <w:sz w:val="28"/>
                                <w:lang w:val="en-US" w:eastAsia="zh-CN"/>
                              </w:rPr>
                              <w:t>26</w:t>
                            </w:r>
                            <w:r>
                              <w:rPr>
                                <w:rFonts w:hint="eastAsia" w:ascii="仿宋_GB2312" w:eastAsia="仿宋_GB2312"/>
                                <w:sz w:val="28"/>
                              </w:rPr>
                              <w:t>日印发</w:t>
                            </w:r>
                          </w:p>
                        </w:txbxContent>
                      </wps:txbx>
                      <wps:bodyPr wrap="square" lIns="0" tIns="0" rIns="0" bIns="0" upright="1"/>
                    </wps:wsp>
                  </a:graphicData>
                </a:graphic>
              </wp:anchor>
            </w:drawing>
          </mc:Choice>
          <mc:Fallback>
            <w:pict>
              <v:shape id="文本框 7" o:spid="_x0000_s1026" o:spt="202" type="#_x0000_t202" style="position:absolute;left:0pt;margin-left:252pt;margin-top:714.4pt;height:28.35pt;width:173.35pt;mso-position-vertical-relative:page;mso-wrap-distance-bottom:0pt;mso-wrap-distance-top:0pt;z-index:251665408;mso-width-relative:page;mso-height-relative:page;" filled="f" stroked="f" coordsize="21600,21600" o:allowincell="f" o:gfxdata="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0CoZu2gAAAA0BAAAPAAAA&#10;AAAAAAEAIAAAADgAAABkcnMvZG93bnJldi54bWxQSwECFAAUAAAACACHTuJA4O5kQsQBAACAAwAA&#10;DgAAAAAAAAABACAAAAA/AQAAZHJzL2Uyb0RvYy54bWxQSwUGAAAAAAYABgBZAQAAdQUAAAAA&#10;">
                <v:fill on="f" focussize="0,0"/>
                <v:stroke on="f"/>
                <v:imagedata o:title=""/>
                <o:lock v:ext="edit" aspectratio="f"/>
                <v:textbox inset="0mm,0mm,0mm,0mm">
                  <w:txbxContent>
                    <w:p>
                      <w:pPr>
                        <w:jc w:val="right"/>
                        <w:rPr>
                          <w:rFonts w:ascii="仿宋_GB2312" w:eastAsia="仿宋_GB2312"/>
                          <w:sz w:val="28"/>
                        </w:rPr>
                      </w:pPr>
                      <w:r>
                        <w:rPr>
                          <w:rFonts w:ascii="仿宋_GB2312" w:eastAsia="仿宋_GB2312"/>
                          <w:sz w:val="28"/>
                        </w:rPr>
                        <w:t>20</w:t>
                      </w:r>
                      <w:r>
                        <w:rPr>
                          <w:rFonts w:hint="eastAsia" w:ascii="仿宋_GB2312" w:eastAsia="仿宋_GB2312"/>
                          <w:sz w:val="28"/>
                        </w:rPr>
                        <w:t>2</w:t>
                      </w:r>
                      <w:r>
                        <w:rPr>
                          <w:rFonts w:hint="eastAsia" w:ascii="仿宋_GB2312" w:eastAsia="仿宋_GB2312"/>
                          <w:sz w:val="28"/>
                          <w:lang w:val="en-US" w:eastAsia="zh-CN"/>
                        </w:rPr>
                        <w:t>5</w:t>
                      </w:r>
                      <w:r>
                        <w:rPr>
                          <w:rFonts w:hint="eastAsia" w:ascii="仿宋_GB2312" w:eastAsia="仿宋_GB2312"/>
                          <w:sz w:val="28"/>
                        </w:rPr>
                        <w:t>年</w:t>
                      </w:r>
                      <w:r>
                        <w:rPr>
                          <w:rFonts w:hint="eastAsia" w:ascii="仿宋_GB2312" w:eastAsia="仿宋_GB2312"/>
                          <w:sz w:val="28"/>
                          <w:lang w:val="en-US" w:eastAsia="zh-CN"/>
                        </w:rPr>
                        <w:t>2</w:t>
                      </w:r>
                      <w:r>
                        <w:rPr>
                          <w:rFonts w:hint="eastAsia" w:ascii="仿宋_GB2312" w:eastAsia="仿宋_GB2312"/>
                          <w:sz w:val="28"/>
                        </w:rPr>
                        <w:t>月</w:t>
                      </w:r>
                      <w:r>
                        <w:rPr>
                          <w:rFonts w:hint="eastAsia" w:ascii="仿宋_GB2312" w:eastAsia="仿宋_GB2312"/>
                          <w:sz w:val="28"/>
                          <w:lang w:val="en-US" w:eastAsia="zh-CN"/>
                        </w:rPr>
                        <w:t>26</w:t>
                      </w:r>
                      <w:r>
                        <w:rPr>
                          <w:rFonts w:hint="eastAsia" w:ascii="仿宋_GB2312" w:eastAsia="仿宋_GB2312"/>
                          <w:sz w:val="28"/>
                        </w:rPr>
                        <w:t>日印发</w:t>
                      </w:r>
                    </w:p>
                  </w:txbxContent>
                </v:textbox>
                <w10:wrap type="topAndBottom"/>
              </v:shape>
            </w:pict>
          </mc:Fallback>
        </mc:AlternateContent>
      </w:r>
      <w:r>
        <w:rPr>
          <w:rFonts w:hint="eastAsia" w:ascii="黑体" w:hAnsi="黑体" w:eastAsia="黑体"/>
          <w:spacing w:val="-6"/>
          <w:sz w:val="32"/>
        </w:rPr>
        <mc:AlternateContent>
          <mc:Choice Requires="wps">
            <w:drawing>
              <wp:anchor distT="0" distB="0" distL="114300" distR="114300" simplePos="0" relativeHeight="251663360" behindDoc="0" locked="0" layoutInCell="0" allowOverlap="1">
                <wp:simplePos x="0" y="0"/>
                <wp:positionH relativeFrom="margin">
                  <wp:posOffset>1270</wp:posOffset>
                </wp:positionH>
                <wp:positionV relativeFrom="page">
                  <wp:posOffset>9432925</wp:posOffset>
                </wp:positionV>
                <wp:extent cx="5579745" cy="12700"/>
                <wp:effectExtent l="0" t="4445" r="1905" b="11430"/>
                <wp:wrapTopAndBottom/>
                <wp:docPr id="4" name="直线 5"/>
                <wp:cNvGraphicFramePr/>
                <a:graphic xmlns:a="http://schemas.openxmlformats.org/drawingml/2006/main">
                  <a:graphicData uri="http://schemas.microsoft.com/office/word/2010/wordprocessingShape">
                    <wps:wsp>
                      <wps:cNvCnPr/>
                      <wps:spPr>
                        <a:xfrm>
                          <a:off x="0" y="0"/>
                          <a:ext cx="5579745" cy="127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0.1pt;margin-top:742.75pt;height:1pt;width:439.35pt;mso-position-horizontal-relative:margin;mso-position-vertical-relative:page;mso-wrap-distance-bottom:0pt;mso-wrap-distance-top:0pt;z-index:251663360;mso-width-relative:page;mso-height-relative:page;" filled="f" stroked="t" coordsize="21600,21600" o:allowincell="f" o:gfxdata="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LZ/SiTXAAAACgEAAA8AAAAAAAAAAQAgAAAAOAAAAGRycy9k&#10;b3ducmV2LnhtbFBLAQIUABQAAAAIAIdO4kAzyNFs7QEAAN8DAAAOAAAAAAAAAAEAIAAAADwBAABk&#10;cnMvZTJvRG9jLnhtbFBLBQYAAAAABgAGAFkBAACbBQAAAAA=&#10;">
                <v:fill on="f" focussize="0,0"/>
                <v:stroke color="#000000" joinstyle="round"/>
                <v:imagedata o:title=""/>
                <o:lock v:ext="edit" aspectratio="f"/>
                <w10:wrap type="topAndBottom"/>
              </v:line>
            </w:pict>
          </mc:Fallback>
        </mc:AlternateContent>
      </w:r>
      <w:r>
        <w:rPr>
          <w:rFonts w:hint="eastAsia" w:ascii="黑体" w:hAnsi="黑体" w:eastAsia="黑体"/>
          <w:spacing w:val="-6"/>
          <w:sz w:val="32"/>
        </w:rPr>
        <mc:AlternateContent>
          <mc:Choice Requires="wps">
            <w:drawing>
              <wp:anchor distT="0" distB="0" distL="114300" distR="114300" simplePos="0" relativeHeight="251662336" behindDoc="0" locked="0" layoutInCell="0" allowOverlap="1">
                <wp:simplePos x="0" y="0"/>
                <wp:positionH relativeFrom="margin">
                  <wp:posOffset>0</wp:posOffset>
                </wp:positionH>
                <wp:positionV relativeFrom="page">
                  <wp:posOffset>9072880</wp:posOffset>
                </wp:positionV>
                <wp:extent cx="5579745" cy="8890"/>
                <wp:effectExtent l="0" t="0" r="0" b="0"/>
                <wp:wrapTopAndBottom/>
                <wp:docPr id="3" name="直线 4"/>
                <wp:cNvGraphicFramePr/>
                <a:graphic xmlns:a="http://schemas.openxmlformats.org/drawingml/2006/main">
                  <a:graphicData uri="http://schemas.microsoft.com/office/word/2010/wordprocessingShape">
                    <wps:wsp>
                      <wps:cNvCnPr/>
                      <wps:spPr>
                        <a:xfrm>
                          <a:off x="0" y="0"/>
                          <a:ext cx="5579745" cy="889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0pt;margin-top:714.4pt;height:0.7pt;width:439.35pt;mso-position-horizontal-relative:margin;mso-position-vertical-relative:page;mso-wrap-distance-bottom:0pt;mso-wrap-distance-top:0pt;z-index:251662336;mso-width-relative:page;mso-height-relative:page;" filled="f" stroked="t" coordsize="21600,21600" o:allowincell="f" o:gfxdata="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OBR9VHWAAAACgEAAA8AAAAAAAAAAQAgAAAAOAAAAGRycy9k&#10;b3ducmV2LnhtbFBLAQIUABQAAAAIAIdO4kAH2u2C7gEAAN4DAAAOAAAAAAAAAAEAIAAAADsBAABk&#10;cnMvZTJvRG9jLnhtbFBLBQYAAAAABgAGAFkBAACbBQAAAAA=&#10;">
                <v:fill on="f" focussize="0,0"/>
                <v:stroke weight="0.5pt" color="#000000" joinstyle="round"/>
                <v:imagedata o:title=""/>
                <o:lock v:ext="edit" aspectratio="f"/>
                <w10:wrap type="topAndBottom"/>
              </v:line>
            </w:pict>
          </mc:Fallback>
        </mc:AlternateContent>
      </w:r>
    </w:p>
    <w:sectPr>
      <w:footerReference r:id="rId6" w:type="default"/>
      <w:pgSz w:w="11906" w:h="16838"/>
      <w:pgMar w:top="2098" w:right="1474" w:bottom="1984" w:left="1588"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标宋体">
    <w:altName w:val="方正书宋_GBK"/>
    <w:panose1 w:val="0201060900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国标楷体">
    <w:panose1 w:val="02000500000000000000"/>
    <w:charset w:val="86"/>
    <w:family w:val="auto"/>
    <w:pitch w:val="default"/>
    <w:sig w:usb0="00000001" w:usb1="08000000" w:usb2="00000000" w:usb3="00000000" w:csb0="00060007" w:csb1="00000000"/>
  </w:font>
  <w:font w:name="思源宋体">
    <w:panose1 w:val="02020400000000000000"/>
    <w:charset w:val="86"/>
    <w:family w:val="auto"/>
    <w:pitch w:val="default"/>
    <w:sig w:usb0="30000083" w:usb1="2BDF3C10" w:usb2="00000016" w:usb3="00000000" w:csb0="602E0107" w:csb1="00000000"/>
  </w:font>
  <w:font w:name="思源黑体 Medium">
    <w:panose1 w:val="020B0500000000000000"/>
    <w:charset w:val="86"/>
    <w:family w:val="auto"/>
    <w:pitch w:val="default"/>
    <w:sig w:usb0="30000083" w:usb1="2BDF3C10" w:usb2="00000016" w:usb3="00000000" w:csb0="602E0107" w:csb1="00000000"/>
  </w:font>
  <w:font w:name="汉仪叶叶相思体简">
    <w:panose1 w:val="02010509060101010101"/>
    <w:charset w:val="86"/>
    <w:family w:val="auto"/>
    <w:pitch w:val="default"/>
    <w:sig w:usb0="00000001" w:usb1="080E0000" w:usb2="00000000" w:usb3="00000000" w:csb0="00040000" w:csb1="00000000"/>
  </w:font>
  <w:font w:name="CESI小标宋-GB13000">
    <w:panose1 w:val="02000500000000000000"/>
    <w:charset w:val="86"/>
    <w:family w:val="auto"/>
    <w:pitch w:val="default"/>
    <w:sig w:usb0="800002BF" w:usb1="18CF7CF8" w:usb2="00000016" w:usb3="00000000" w:csb0="0004000F" w:csb1="00000000"/>
  </w:font>
  <w:font w:name="CESI小标宋-GB2312">
    <w:panose1 w:val="02000500000000000000"/>
    <w:charset w:val="86"/>
    <w:family w:val="auto"/>
    <w:pitch w:val="default"/>
    <w:sig w:usb0="800002AF" w:usb1="084F6CF8" w:usb2="00000010" w:usb3="00000000" w:csb0="0004000F" w:csb1="00000000"/>
  </w:font>
  <w:font w:name="Bitstream Charter">
    <w:panose1 w:val="00000000000000000000"/>
    <w:charset w:val="00"/>
    <w:family w:val="auto"/>
    <w:pitch w:val="default"/>
    <w:sig w:usb0="00000000" w:usb1="00000000" w:usb2="00000000" w:usb3="00000000" w:csb0="00000000" w:csb1="00000000"/>
  </w:font>
  <w:font w:name="CESI楷体-GB13000">
    <w:panose1 w:val="02000500000000000000"/>
    <w:charset w:val="86"/>
    <w:family w:val="auto"/>
    <w:pitch w:val="default"/>
    <w:sig w:usb0="800002BF" w:usb1="38CF7CF8" w:usb2="00000016" w:usb3="00000000" w:csb0="0004000F" w:csb1="00000000"/>
  </w:font>
  <w:font w:name="CESI黑体-GB18030">
    <w:panose1 w:val="02000500000000000000"/>
    <w:charset w:val="86"/>
    <w:family w:val="auto"/>
    <w:pitch w:val="default"/>
    <w:sig w:usb0="A00002BF" w:usb1="38C77CFA" w:usb2="00000016" w:usb3="00000000" w:csb0="0004000F" w:csb1="00000000"/>
  </w:font>
  <w:font w:name="DejaVu Math TeX Gyre">
    <w:panose1 w:val="02000503000000000000"/>
    <w:charset w:val="00"/>
    <w:family w:val="auto"/>
    <w:pitch w:val="default"/>
    <w:sig w:usb0="A10000EF" w:usb1="4201F9EE" w:usb2="02000000" w:usb3="00000000" w:csb0="60000193" w:csb1="0DD40000"/>
  </w:font>
  <w:font w:name="GWZT-EN">
    <w:panose1 w:val="02020400000000000000"/>
    <w:charset w:val="86"/>
    <w:family w:val="auto"/>
    <w:pitch w:val="default"/>
    <w:sig w:usb0="A00002BF" w:usb1="38CF7CFA" w:usb2="00082016" w:usb3="00000000" w:csb0="00040001" w:csb1="00000000"/>
  </w:font>
  <w:font w:name="MT Extra">
    <w:panose1 w:val="02000609000000000000"/>
    <w:charset w:val="00"/>
    <w:family w:val="auto"/>
    <w:pitch w:val="default"/>
    <w:sig w:usb0="00000001" w:usb1="00000000" w:usb2="00000000" w:usb3="00000000" w:csb0="00000001" w:csb1="00000000"/>
  </w:font>
  <w:font w:name="方正仿宋_GBK">
    <w:panose1 w:val="02000000000000000000"/>
    <w:charset w:val="86"/>
    <w:family w:val="auto"/>
    <w:pitch w:val="default"/>
    <w:sig w:usb0="00000001" w:usb1="08000000" w:usb2="00000000" w:usb3="00000000" w:csb0="00040000" w:csb1="00000000"/>
  </w:font>
  <w:font w:name="Noto Mono">
    <w:panose1 w:val="020B0609030804020204"/>
    <w:charset w:val="00"/>
    <w:family w:val="auto"/>
    <w:pitch w:val="default"/>
    <w:sig w:usb0="E00002EF" w:usb1="4000205B" w:usb2="00000028" w:usb3="00000000" w:csb0="2000019F" w:csb1="00000000"/>
  </w:font>
  <w:font w:name="Noto Sans">
    <w:panose1 w:val="020B0502040504020204"/>
    <w:charset w:val="00"/>
    <w:family w:val="auto"/>
    <w:pitch w:val="default"/>
    <w:sig w:usb0="E00002FF" w:usb1="4000201F" w:usb2="08000029" w:usb3="00100000" w:csb0="0000019F" w:csb1="00000000"/>
  </w:font>
  <w:font w:name="Noto Sans Adlam Unjoined">
    <w:panose1 w:val="020B0502040504020204"/>
    <w:charset w:val="00"/>
    <w:family w:val="auto"/>
    <w:pitch w:val="default"/>
    <w:sig w:usb0="80002003" w:usb1="02000000" w:usb2="00000000" w:usb3="00000000" w:csb0="00000001" w:csb1="00000000"/>
  </w:font>
  <w:font w:name="Noto Sans Bassa Vah">
    <w:panose1 w:val="020B0502040504020204"/>
    <w:charset w:val="00"/>
    <w:family w:val="auto"/>
    <w:pitch w:val="default"/>
    <w:sig w:usb0="00000003" w:usb1="02002000" w:usb2="00000000" w:usb3="00000000" w:csb0="00000001" w:csb1="00000000"/>
  </w:font>
  <w:font w:name="Noto Sans Bhaiksuki">
    <w:panose1 w:val="020B0502040504020204"/>
    <w:charset w:val="00"/>
    <w:family w:val="auto"/>
    <w:pitch w:val="default"/>
    <w:sig w:usb0="80000003" w:usb1="02002000" w:usb2="00000000" w:usb3="00000000" w:csb0="00000001" w:csb1="00000000"/>
  </w:font>
  <w:font w:name="Noto Sans Brahmi">
    <w:panose1 w:val="020B0502040504020204"/>
    <w:charset w:val="00"/>
    <w:family w:val="auto"/>
    <w:pitch w:val="default"/>
    <w:sig w:usb0="80000003" w:usb1="02002000" w:usb2="00000000" w:usb3="00000000" w:csb0="00000001" w:csb1="00000000"/>
  </w:font>
  <w:font w:name="Noto Sans Buginese">
    <w:panose1 w:val="020B0502040504020204"/>
    <w:charset w:val="00"/>
    <w:family w:val="auto"/>
    <w:pitch w:val="default"/>
    <w:sig w:usb0="80000003" w:usb1="00002000" w:usb2="00000000" w:usb3="00000001" w:csb0="00000001" w:csb1="00000000"/>
  </w:font>
  <w:font w:name="Noto Sans CJK JP Regular">
    <w:panose1 w:val="020B0500000000000000"/>
    <w:charset w:val="86"/>
    <w:family w:val="auto"/>
    <w:pitch w:val="default"/>
    <w:sig w:usb0="30000003" w:usb1="2BDF3C10" w:usb2="00000016" w:usb3="00000000" w:csb0="602E0107" w:csb1="00000000"/>
  </w:font>
  <w:font w:name="Noto Sans Cham">
    <w:panose1 w:val="020B0502040504020204"/>
    <w:charset w:val="00"/>
    <w:family w:val="auto"/>
    <w:pitch w:val="default"/>
    <w:sig w:usb0="80000003" w:usb1="00002000" w:usb2="00000000" w:usb3="00400000" w:csb0="00000001" w:csb1="00000000"/>
  </w:font>
  <w:font w:name="Noto Sans Cherokee">
    <w:panose1 w:val="020B0502040504020204"/>
    <w:charset w:val="00"/>
    <w:family w:val="auto"/>
    <w:pitch w:val="default"/>
    <w:sig w:usb0="00000043" w:usb1="00000000" w:usb2="00001000" w:usb3="00000000" w:csb0="00000001" w:csb1="00000000"/>
  </w:font>
  <w:font w:name="Noto Sans Cuneiform">
    <w:panose1 w:val="020B0502040504020204"/>
    <w:charset w:val="00"/>
    <w:family w:val="auto"/>
    <w:pitch w:val="default"/>
    <w:sig w:usb0="00000003" w:usb1="02000000" w:usb2="00000000" w:usb3="00004000" w:csb0="00000001" w:csb1="00000000"/>
  </w:font>
  <w:font w:name="Noto Sans Deseret">
    <w:panose1 w:val="020B0502040504020204"/>
    <w:charset w:val="00"/>
    <w:family w:val="auto"/>
    <w:pitch w:val="default"/>
    <w:sig w:usb0="00000003" w:usb1="02000000" w:usb2="00800000" w:usb3="00000000" w:csb0="00000001" w:csb1="00000000"/>
  </w:font>
  <w:font w:name="Noto Sans Devanagari">
    <w:panose1 w:val="020B0502040504020204"/>
    <w:charset w:val="00"/>
    <w:family w:val="auto"/>
    <w:pitch w:val="default"/>
    <w:sig w:usb0="80008023" w:usb1="00002046" w:usb2="00000000" w:usb3="00000000" w:csb0="00000001" w:csb1="00000000"/>
  </w:font>
  <w:font w:name="Noto Sans Grantha">
    <w:panose1 w:val="020B0502040504020204"/>
    <w:charset w:val="00"/>
    <w:family w:val="auto"/>
    <w:pitch w:val="default"/>
    <w:sig w:usb0="80108003" w:usb1="02002004" w:usb2="00000000" w:usb3="00000000" w:csb0="00000001" w:csb1="00000000"/>
  </w:font>
  <w:font w:name="Noto Sans Gurmukhi">
    <w:panose1 w:val="020B0502040504020204"/>
    <w:charset w:val="00"/>
    <w:family w:val="auto"/>
    <w:pitch w:val="default"/>
    <w:sig w:usb0="00020000" w:usb1="00000000" w:usb2="00000000" w:usb3="00000000" w:csb0="00000001" w:csb1="00000000"/>
  </w:font>
  <w:font w:name="Noto Sans Malayalam">
    <w:panose1 w:val="020B0502040504020204"/>
    <w:charset w:val="00"/>
    <w:family w:val="auto"/>
    <w:pitch w:val="default"/>
    <w:sig w:usb0="80808043" w:usb1="00002042" w:usb2="00000000" w:usb3="00000000" w:csb0="00000001" w:csb1="00000000"/>
  </w:font>
  <w:font w:name="Noto Sans Mandaic">
    <w:panose1 w:val="020B0502040504020204"/>
    <w:charset w:val="00"/>
    <w:family w:val="auto"/>
    <w:pitch w:val="default"/>
    <w:sig w:usb0="80002003" w:usb1="00002000" w:usb2="00000000" w:usb3="00000000" w:csb0="00000001" w:csb1="00000000"/>
  </w:font>
  <w:font w:name="Noto Sans Marchen">
    <w:panose1 w:val="020B0502040504020204"/>
    <w:charset w:val="00"/>
    <w:family w:val="auto"/>
    <w:pitch w:val="default"/>
    <w:sig w:usb0="00000003" w:usb1="02002000" w:usb2="00000000" w:usb3="00000000" w:csb0="00000001" w:csb1="00000000"/>
  </w:font>
  <w:font w:name="Noto Sans Math">
    <w:panose1 w:val="020B0502040504020204"/>
    <w:charset w:val="00"/>
    <w:family w:val="auto"/>
    <w:pitch w:val="default"/>
    <w:sig w:usb0="800000C3" w:usb1="020064EC" w:usb2="02000010" w:usb3="00000000" w:csb0="00000001" w:csb1="00000000"/>
  </w:font>
  <w:font w:name="Noto Sans Meetei Mayek">
    <w:panose1 w:val="020B0502040504020204"/>
    <w:charset w:val="00"/>
    <w:family w:val="auto"/>
    <w:pitch w:val="default"/>
    <w:sig w:usb0="80000003" w:usb1="00002000" w:usb2="00000000" w:usb3="00000000" w:csb0="00000001" w:csb1="00000000"/>
  </w:font>
  <w:font w:name="Noto Sans Mono CJK JP Regular">
    <w:panose1 w:val="020B0500000000000000"/>
    <w:charset w:val="86"/>
    <w:family w:val="auto"/>
    <w:pitch w:val="default"/>
    <w:sig w:usb0="30000003" w:usb1="2BDF3C10" w:usb2="00000016" w:usb3="00000000" w:csb0="602E0107" w:csb1="00000000"/>
  </w:font>
  <w:font w:name="Noto Sans Mono CJK KR Regular">
    <w:panose1 w:val="020B0500000000000000"/>
    <w:charset w:val="86"/>
    <w:family w:val="auto"/>
    <w:pitch w:val="default"/>
    <w:sig w:usb0="30000003" w:usb1="2BDF3C10" w:usb2="00000016" w:usb3="00000000" w:csb0="602E0107" w:csb1="00000000"/>
  </w:font>
  <w:font w:name="Noto Sans Mono CJK TC Bold">
    <w:panose1 w:val="020B0800000000000000"/>
    <w:charset w:val="88"/>
    <w:family w:val="auto"/>
    <w:pitch w:val="default"/>
    <w:sig w:usb0="30000003" w:usb1="2BDF3C10" w:usb2="00000016" w:usb3="00000000" w:csb0="603A0107" w:csb1="00000000"/>
  </w:font>
  <w:font w:name="Noto Sans Nabataean">
    <w:panose1 w:val="020B0502040504020204"/>
    <w:charset w:val="00"/>
    <w:family w:val="auto"/>
    <w:pitch w:val="default"/>
    <w:sig w:usb0="00000003" w:usb1="02000000" w:usb2="00000000" w:usb3="00000000" w:csb0="00000001" w:csb1="00000000"/>
  </w:font>
  <w:font w:name="Noto Sans Ogham">
    <w:panose1 w:val="020B0502040504020204"/>
    <w:charset w:val="00"/>
    <w:family w:val="auto"/>
    <w:pitch w:val="default"/>
    <w:sig w:usb0="00000003" w:usb1="00000000" w:usb2="00004000" w:usb3="00000000" w:csb0="00000001" w:csb1="00000000"/>
  </w:font>
  <w:font w:name="Noto Sans Osage">
    <w:panose1 w:val="020B0502040504020204"/>
    <w:charset w:val="00"/>
    <w:family w:val="auto"/>
    <w:pitch w:val="default"/>
    <w:sig w:usb0="00000043" w:usb1="02002000" w:usb2="00000000" w:usb3="00000000" w:csb0="00000001" w:csb1="00000000"/>
  </w:font>
  <w:font w:name="Noto Sans Oriya">
    <w:panose1 w:val="020B0502040504020204"/>
    <w:charset w:val="00"/>
    <w:family w:val="auto"/>
    <w:pitch w:val="default"/>
    <w:sig w:usb0="00080000" w:usb1="00000000" w:usb2="00000000" w:usb3="00000000" w:csb0="00000001" w:csb1="00000000"/>
  </w:font>
  <w:font w:name="Noto Sans Osmanya">
    <w:panose1 w:val="020B0502040504020204"/>
    <w:charset w:val="00"/>
    <w:family w:val="auto"/>
    <w:pitch w:val="default"/>
    <w:sig w:usb0="00000003" w:usb1="02000000" w:usb2="00000000" w:usb3="00000400" w:csb0="00000001" w:csb1="00000000"/>
  </w:font>
  <w:font w:name="Noto Sans Pahawh Hmong">
    <w:panose1 w:val="020B0502040504020204"/>
    <w:charset w:val="00"/>
    <w:family w:val="auto"/>
    <w:pitch w:val="default"/>
    <w:sig w:usb0="80000003" w:usb1="02002000" w:usb2="00000000" w:usb3="00000000" w:csb0="00000001" w:csb1="00000000"/>
  </w:font>
  <w:font w:name="Noto Sans Psalter Pahlavi">
    <w:panose1 w:val="020B0502040504020204"/>
    <w:charset w:val="00"/>
    <w:family w:val="auto"/>
    <w:pitch w:val="default"/>
    <w:sig w:usb0="80002003" w:usb1="02002000" w:usb2="00000000" w:usb3="00000000" w:csb0="00000001" w:csb1="00000000"/>
  </w:font>
  <w:font w:name="Noto Sans Saurashtra">
    <w:panose1 w:val="020B0502040504020204"/>
    <w:charset w:val="00"/>
    <w:family w:val="auto"/>
    <w:pitch w:val="default"/>
    <w:sig w:usb0="80000003" w:usb1="00002000" w:usb2="00000000" w:usb3="00080000" w:csb0="00000001" w:csb1="00000000"/>
  </w:font>
  <w:font w:name="Noto Sans Sinhala">
    <w:panose1 w:val="020B0502040504020204"/>
    <w:charset w:val="00"/>
    <w:family w:val="auto"/>
    <w:pitch w:val="default"/>
    <w:sig w:usb0="80008003" w:usb1="02002040" w:usb2="00000200" w:usb3="00000000" w:csb0="00000001" w:csb1="00000000"/>
  </w:font>
  <w:font w:name="Noto Sans Syriac">
    <w:panose1 w:val="020B0502040504020204"/>
    <w:charset w:val="00"/>
    <w:family w:val="auto"/>
    <w:pitch w:val="default"/>
    <w:sig w:usb0="80002043" w:usb1="00006040" w:usb2="00000080" w:usb3="00000000" w:csb0="00000001" w:csb1="00000000"/>
  </w:font>
  <w:font w:name="Noto Sans Tagalog">
    <w:panose1 w:val="020B0502040504020204"/>
    <w:charset w:val="00"/>
    <w:family w:val="auto"/>
    <w:pitch w:val="default"/>
    <w:sig w:usb0="80000003" w:usb1="00002000" w:usb2="00100000" w:usb3="00000000" w:csb0="00000001" w:csb1="00000000"/>
  </w:font>
  <w:font w:name="Noto Sans Tai Viet">
    <w:panose1 w:val="020B0502040504020204"/>
    <w:charset w:val="00"/>
    <w:family w:val="auto"/>
    <w:pitch w:val="default"/>
    <w:sig w:usb0="A0000003" w:usb1="00002000" w:usb2="00000000" w:usb3="00000000" w:csb0="00000001" w:csb1="00000000"/>
  </w:font>
  <w:font w:name="Noto Sans Telugu">
    <w:panose1 w:val="020B0502040504020204"/>
    <w:charset w:val="00"/>
    <w:family w:val="auto"/>
    <w:pitch w:val="default"/>
    <w:sig w:usb0="00200000" w:usb1="00000000" w:usb2="00000000" w:usb3="00000000" w:csb0="00000001" w:csb1="00000000"/>
  </w:font>
  <w:font w:name="Noto Sans Tamil">
    <w:panose1 w:val="020B0502040504020204"/>
    <w:charset w:val="00"/>
    <w:family w:val="auto"/>
    <w:pitch w:val="default"/>
    <w:sig w:usb0="80108003" w:usb1="02002043" w:usb2="00000000" w:usb3="00000000" w:csb0="00000001" w:csb1="00000000"/>
  </w:font>
  <w:font w:name="Noto Sans Tibetan">
    <w:panose1 w:val="020B0502040504020204"/>
    <w:charset w:val="00"/>
    <w:family w:val="auto"/>
    <w:pitch w:val="default"/>
    <w:sig w:usb0="00000000" w:usb1="00000000" w:usb2="00000040" w:usb3="00000000" w:csb0="00000001" w:csb1="00000000"/>
  </w:font>
  <w:font w:name="Noto Sans Warang Citi">
    <w:panose1 w:val="020B0502040504020204"/>
    <w:charset w:val="00"/>
    <w:family w:val="auto"/>
    <w:pitch w:val="default"/>
    <w:sig w:usb0="80000003" w:usb1="02000000" w:usb2="00000000" w:usb3="00000000" w:csb0="00000001" w:csb1="00000000"/>
  </w:font>
  <w:font w:name="Noto Serif Bengali">
    <w:panose1 w:val="02020502040504020204"/>
    <w:charset w:val="00"/>
    <w:family w:val="auto"/>
    <w:pitch w:val="default"/>
    <w:sig w:usb0="00010000" w:usb1="00000000" w:usb2="00000000" w:usb3="00000000" w:csb0="00000001" w:csb1="00000000"/>
  </w:font>
  <w:font w:name="Noto Serif Georgian">
    <w:panose1 w:val="02020502060505020204"/>
    <w:charset w:val="00"/>
    <w:family w:val="auto"/>
    <w:pitch w:val="default"/>
    <w:sig w:usb0="84000443" w:usb1="00000002" w:usb2="00000000" w:usb3="00000000" w:csb0="00000001" w:csb1="00000000"/>
  </w:font>
  <w:font w:name="Noto Serif Lao">
    <w:panose1 w:val="02020502060505020204"/>
    <w:charset w:val="00"/>
    <w:family w:val="auto"/>
    <w:pitch w:val="default"/>
    <w:sig w:usb0="82000003" w:usb1="00002002" w:usb2="00000000" w:usb3="00000000" w:csb0="00000001" w:csb1="00000000"/>
  </w:font>
  <w:font w:name="Noto Serif Tamil">
    <w:panose1 w:val="02020502060505020204"/>
    <w:charset w:val="00"/>
    <w:family w:val="auto"/>
    <w:pitch w:val="default"/>
    <w:sig w:usb0="80108003" w:usb1="02002043" w:usb2="00000000" w:usb3="00000000" w:csb0="00000001" w:csb1="00000000"/>
  </w:font>
  <w:font w:name="Noto Serif Thai">
    <w:panose1 w:val="02020502060505020204"/>
    <w:charset w:val="00"/>
    <w:family w:val="auto"/>
    <w:pitch w:val="default"/>
    <w:sig w:usb0="81000063" w:usb1="00002000" w:usb2="00000000" w:usb3="00000000" w:csb0="00010000" w:csb1="00000000"/>
  </w:font>
  <w:font w:name="Noto Serif Tibetan">
    <w:panose1 w:val="02020502060505020204"/>
    <w:charset w:val="00"/>
    <w:family w:val="auto"/>
    <w:pitch w:val="default"/>
    <w:sig w:usb0="80000003" w:usb1="00006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sz w:val="28"/>
                              <w:szCs w:val="28"/>
                              <w:lang w:eastAsia="zh-CN"/>
                            </w:rPr>
                          </w:pPr>
                          <w:r>
                            <w:rPr>
                              <w:rFonts w:hint="eastAsia"/>
                              <w:sz w:val="28"/>
                              <w:szCs w:val="28"/>
                              <w:lang w:val="en-US" w:eastAsia="zh-CN"/>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ouqVINwCAAAkBgAADgAAAAAAAAABACAAAAA1&#10;AQAAZHJzL2Uyb0RvYy54bWxQSwUGAAAAAAYABgBZAQAAgwYAAAAA&#10;">
              <v:fill on="f" focussize="0,0"/>
              <v:stroke on="f" weight="0.5pt"/>
              <v:imagedata o:title=""/>
              <o:lock v:ext="edit" aspectratio="f"/>
              <v:textbox inset="0mm,0mm,0mm,0mm" style="mso-fit-shape-to-text:t;">
                <w:txbxContent>
                  <w:p>
                    <w:pPr>
                      <w:pStyle w:val="4"/>
                      <w:rPr>
                        <w:rFonts w:hint="eastAsia" w:eastAsia="宋体"/>
                        <w:sz w:val="28"/>
                        <w:szCs w:val="28"/>
                        <w:lang w:eastAsia="zh-CN"/>
                      </w:rPr>
                    </w:pPr>
                    <w:r>
                      <w:rPr>
                        <w:rFonts w:hint="eastAsia"/>
                        <w:sz w:val="28"/>
                        <w:szCs w:val="28"/>
                        <w:lang w:val="en-US" w:eastAsia="zh-CN"/>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6"/>
        <w:snapToGrid w:val="0"/>
      </w:pPr>
      <w:r>
        <w:rPr>
          <w:rFonts w:hint="eastAsia"/>
          <w:lang w:val="en-US" w:eastAsia="zh-CN"/>
        </w:rPr>
        <w:t>注</w:t>
      </w:r>
      <w:r>
        <w:rPr>
          <w:rStyle w:val="13"/>
        </w:rPr>
        <w:footnoteRef/>
      </w:r>
      <w:r>
        <w:rPr>
          <w:rFonts w:hint="eastAsia"/>
          <w:lang w:val="en-US" w:eastAsia="zh-CN"/>
        </w:rPr>
        <w:t>：市一中等11所学校：</w:t>
      </w:r>
      <w:r>
        <w:rPr>
          <w:rFonts w:hint="eastAsia"/>
        </w:rPr>
        <w:t>佛山市第一中学、</w:t>
      </w:r>
      <w:r>
        <w:rPr>
          <w:rFonts w:hint="eastAsia"/>
          <w:lang w:val="en-US" w:eastAsia="zh-CN"/>
        </w:rPr>
        <w:t>佛山市高级中学、佛山市季华中学、</w:t>
      </w:r>
      <w:r>
        <w:rPr>
          <w:rFonts w:hint="eastAsia"/>
        </w:rPr>
        <w:t>佛山市第二中学、佛山市第三中学、</w:t>
      </w:r>
      <w:r>
        <w:rPr>
          <w:rFonts w:hint="eastAsia"/>
          <w:lang w:val="en-US" w:eastAsia="zh-CN"/>
        </w:rPr>
        <w:t>佛山市</w:t>
      </w:r>
      <w:r>
        <w:rPr>
          <w:rFonts w:hint="eastAsia"/>
        </w:rPr>
        <w:t>南海区石门中学、</w:t>
      </w:r>
      <w:r>
        <w:rPr>
          <w:rFonts w:hint="eastAsia"/>
          <w:lang w:val="en-US" w:eastAsia="zh-CN"/>
        </w:rPr>
        <w:t>佛山市</w:t>
      </w:r>
      <w:r>
        <w:rPr>
          <w:rFonts w:hint="eastAsia"/>
        </w:rPr>
        <w:t>南海区南海中学、</w:t>
      </w:r>
      <w:r>
        <w:rPr>
          <w:rFonts w:hint="eastAsia"/>
          <w:lang w:val="en-US" w:eastAsia="zh-CN"/>
        </w:rPr>
        <w:t>佛山市</w:t>
      </w:r>
      <w:r>
        <w:rPr>
          <w:rFonts w:hint="eastAsia"/>
        </w:rPr>
        <w:t>顺德区第一中学、</w:t>
      </w:r>
      <w:r>
        <w:rPr>
          <w:rFonts w:hint="eastAsia"/>
          <w:lang w:val="en-US" w:eastAsia="zh-CN"/>
        </w:rPr>
        <w:t>佛山市</w:t>
      </w:r>
      <w:r>
        <w:rPr>
          <w:rFonts w:hint="eastAsia"/>
        </w:rPr>
        <w:t>顺德区李兆基中学、</w:t>
      </w:r>
      <w:r>
        <w:rPr>
          <w:rFonts w:hint="eastAsia"/>
          <w:lang w:val="en-US" w:eastAsia="zh-CN"/>
        </w:rPr>
        <w:t>华东师范大学第二附属中学美的高中、佛山市</w:t>
      </w:r>
      <w:r>
        <w:rPr>
          <w:rFonts w:hint="eastAsia"/>
        </w:rPr>
        <w:t>三水区三水中学等</w:t>
      </w:r>
      <w:r>
        <w:rPr>
          <w:rFonts w:hint="eastAsia"/>
          <w:lang w:val="en-US" w:eastAsia="zh-CN"/>
        </w:rPr>
        <w:t>11</w:t>
      </w:r>
      <w:r>
        <w:rPr>
          <w:rFonts w:hint="eastAsia"/>
        </w:rPr>
        <w:t>所学校</w:t>
      </w:r>
      <w:r>
        <w:rPr>
          <w:rFonts w:hint="eastAsia"/>
          <w:lang w:eastAsia="zh-CN"/>
        </w:rPr>
        <w:t>。</w:t>
      </w:r>
    </w:p>
  </w:footnote>
  <w:footnote w:id="1">
    <w:p>
      <w:pPr>
        <w:pStyle w:val="6"/>
        <w:snapToGrid w:val="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注</w:t>
      </w:r>
      <w:r>
        <w:rPr>
          <w:rStyle w:val="13"/>
          <w:rFonts w:ascii="Times New Roman" w:hAnsi="Times New Roman" w:eastAsia="宋体" w:cs="Times New Roman"/>
        </w:rPr>
        <w:footnoteRef/>
      </w:r>
      <w:r>
        <w:rPr>
          <w:rFonts w:hint="eastAsia" w:ascii="Times New Roman" w:hAnsi="Times New Roman" w:eastAsia="宋体" w:cs="Times New Roman"/>
          <w:lang w:val="en-US" w:eastAsia="zh-CN"/>
        </w:rPr>
        <w:t>：佛山市第四中学等20所公办高中：佛山市第四中学、佛山市荣山中学、</w:t>
      </w:r>
      <w:r>
        <w:rPr>
          <w:rFonts w:hint="eastAsia" w:cs="Times New Roman"/>
          <w:lang w:val="en-US" w:eastAsia="zh-CN"/>
        </w:rPr>
        <w:t>佛山市</w:t>
      </w:r>
      <w:r>
        <w:rPr>
          <w:rFonts w:hint="eastAsia" w:ascii="Times New Roman" w:hAnsi="Times New Roman" w:eastAsia="宋体" w:cs="Times New Roman"/>
          <w:lang w:val="en-US" w:eastAsia="zh-CN"/>
        </w:rPr>
        <w:t>禅城实验高级中学、佛山市实验中学、</w:t>
      </w:r>
      <w:r>
        <w:rPr>
          <w:rFonts w:hint="eastAsia" w:cs="Times New Roman"/>
          <w:lang w:val="en-US" w:eastAsia="zh-CN"/>
        </w:rPr>
        <w:t>佛山市</w:t>
      </w:r>
      <w:r>
        <w:rPr>
          <w:rFonts w:hint="eastAsia" w:ascii="Times New Roman" w:hAnsi="Times New Roman" w:eastAsia="宋体" w:cs="Times New Roman"/>
          <w:lang w:val="en-US" w:eastAsia="zh-CN"/>
        </w:rPr>
        <w:t>南海区实验学校、</w:t>
      </w:r>
      <w:r>
        <w:rPr>
          <w:rFonts w:hint="eastAsia" w:cs="Times New Roman"/>
          <w:lang w:val="en-US" w:eastAsia="zh-CN"/>
        </w:rPr>
        <w:t>佛山市</w:t>
      </w:r>
      <w:r>
        <w:rPr>
          <w:rFonts w:hint="eastAsia" w:ascii="Times New Roman" w:hAnsi="Times New Roman" w:eastAsia="宋体" w:cs="Times New Roman"/>
          <w:lang w:val="en-US" w:eastAsia="zh-CN"/>
        </w:rPr>
        <w:t>南海区桂城中学、</w:t>
      </w:r>
      <w:r>
        <w:rPr>
          <w:rFonts w:hint="eastAsia" w:cs="Times New Roman"/>
          <w:lang w:val="en-US" w:eastAsia="zh-CN"/>
        </w:rPr>
        <w:t>佛山市</w:t>
      </w:r>
      <w:r>
        <w:rPr>
          <w:rFonts w:hint="eastAsia" w:ascii="Times New Roman" w:hAnsi="Times New Roman" w:eastAsia="宋体" w:cs="Times New Roman"/>
          <w:lang w:val="en-US" w:eastAsia="zh-CN"/>
        </w:rPr>
        <w:t>南海区狮山石门高级中学、</w:t>
      </w:r>
      <w:r>
        <w:rPr>
          <w:rFonts w:hint="eastAsia" w:cs="Times New Roman"/>
          <w:lang w:val="en-US" w:eastAsia="zh-CN"/>
        </w:rPr>
        <w:t>佛山市</w:t>
      </w:r>
      <w:r>
        <w:rPr>
          <w:rFonts w:hint="eastAsia" w:ascii="Times New Roman" w:hAnsi="Times New Roman" w:eastAsia="宋体" w:cs="Times New Roman"/>
          <w:lang w:val="en-US" w:eastAsia="zh-CN"/>
        </w:rPr>
        <w:t>南海区九江中学、</w:t>
      </w:r>
      <w:r>
        <w:rPr>
          <w:rFonts w:hint="eastAsia" w:cs="Times New Roman"/>
          <w:lang w:val="en-US" w:eastAsia="zh-CN"/>
        </w:rPr>
        <w:t>佛山市</w:t>
      </w:r>
      <w:r>
        <w:rPr>
          <w:rFonts w:hint="eastAsia" w:ascii="Times New Roman" w:hAnsi="Times New Roman" w:eastAsia="宋体" w:cs="Times New Roman"/>
          <w:lang w:val="en-US" w:eastAsia="zh-CN"/>
        </w:rPr>
        <w:t>南海区第一中学、</w:t>
      </w:r>
      <w:r>
        <w:rPr>
          <w:rFonts w:hint="eastAsia" w:cs="Times New Roman"/>
          <w:lang w:val="en-US" w:eastAsia="zh-CN"/>
        </w:rPr>
        <w:t>佛山市</w:t>
      </w:r>
      <w:r>
        <w:rPr>
          <w:rFonts w:hint="eastAsia" w:ascii="Times New Roman" w:hAnsi="Times New Roman" w:eastAsia="宋体" w:cs="Times New Roman"/>
          <w:lang w:val="en-US" w:eastAsia="zh-CN"/>
        </w:rPr>
        <w:t>南海区艺术高级中学、</w:t>
      </w:r>
      <w:r>
        <w:rPr>
          <w:rFonts w:hint="eastAsia" w:cs="Times New Roman"/>
          <w:lang w:val="en-US" w:eastAsia="zh-CN"/>
        </w:rPr>
        <w:t>佛山市</w:t>
      </w:r>
      <w:r>
        <w:rPr>
          <w:rFonts w:hint="eastAsia" w:ascii="Times New Roman" w:hAnsi="Times New Roman" w:eastAsia="宋体" w:cs="Times New Roman"/>
          <w:lang w:val="en-US" w:eastAsia="zh-CN"/>
        </w:rPr>
        <w:t>顺德区第一中学西南学校、</w:t>
      </w:r>
      <w:r>
        <w:rPr>
          <w:rFonts w:hint="eastAsia" w:cs="Times New Roman"/>
          <w:lang w:val="en-US" w:eastAsia="zh-CN"/>
        </w:rPr>
        <w:t>佛山市</w:t>
      </w:r>
      <w:r>
        <w:rPr>
          <w:rFonts w:hint="eastAsia" w:ascii="Times New Roman" w:hAnsi="Times New Roman" w:eastAsia="宋体" w:cs="Times New Roman"/>
          <w:lang w:val="en-US" w:eastAsia="zh-CN"/>
        </w:rPr>
        <w:t>顺德区郑裕彤中学、</w:t>
      </w:r>
      <w:r>
        <w:rPr>
          <w:rFonts w:hint="eastAsia" w:cs="Times New Roman"/>
          <w:lang w:val="en-US" w:eastAsia="zh-CN"/>
        </w:rPr>
        <w:t>佛山市</w:t>
      </w:r>
      <w:r>
        <w:rPr>
          <w:rFonts w:hint="eastAsia" w:ascii="Times New Roman" w:hAnsi="Times New Roman" w:eastAsia="宋体" w:cs="Times New Roman"/>
          <w:lang w:val="en-US" w:eastAsia="zh-CN"/>
        </w:rPr>
        <w:t>顺德区华侨中学、</w:t>
      </w:r>
      <w:r>
        <w:rPr>
          <w:rFonts w:hint="eastAsia" w:cs="Times New Roman"/>
          <w:lang w:val="en-US" w:eastAsia="zh-CN"/>
        </w:rPr>
        <w:t>佛山市</w:t>
      </w:r>
      <w:r>
        <w:rPr>
          <w:rFonts w:hint="eastAsia" w:ascii="Times New Roman" w:hAnsi="Times New Roman" w:eastAsia="宋体" w:cs="Times New Roman"/>
          <w:lang w:val="en-US" w:eastAsia="zh-CN"/>
        </w:rPr>
        <w:t>顺德区罗定邦中学、</w:t>
      </w:r>
      <w:r>
        <w:rPr>
          <w:rFonts w:hint="eastAsia" w:cs="Times New Roman"/>
          <w:lang w:val="en-US" w:eastAsia="zh-CN"/>
        </w:rPr>
        <w:t>佛山市</w:t>
      </w:r>
      <w:r>
        <w:rPr>
          <w:rFonts w:hint="eastAsia" w:ascii="Times New Roman" w:hAnsi="Times New Roman" w:eastAsia="宋体" w:cs="Times New Roman"/>
          <w:lang w:val="en-US" w:eastAsia="zh-CN"/>
        </w:rPr>
        <w:t>顺德区容山中学、</w:t>
      </w:r>
      <w:r>
        <w:rPr>
          <w:rFonts w:hint="eastAsia" w:cs="Times New Roman"/>
          <w:lang w:val="en-US" w:eastAsia="zh-CN"/>
        </w:rPr>
        <w:t>佛山市</w:t>
      </w:r>
      <w:r>
        <w:rPr>
          <w:rFonts w:hint="eastAsia" w:ascii="Times New Roman" w:hAnsi="Times New Roman" w:eastAsia="宋体" w:cs="Times New Roman"/>
          <w:lang w:val="en-US" w:eastAsia="zh-CN"/>
        </w:rPr>
        <w:t>顺德区北滘中学、</w:t>
      </w:r>
      <w:r>
        <w:rPr>
          <w:rFonts w:hint="eastAsia" w:cs="Times New Roman"/>
          <w:lang w:val="en-US" w:eastAsia="zh-CN"/>
        </w:rPr>
        <w:t>佛山市</w:t>
      </w:r>
      <w:r>
        <w:rPr>
          <w:rFonts w:hint="eastAsia" w:ascii="Times New Roman" w:hAnsi="Times New Roman" w:eastAsia="宋体" w:cs="Times New Roman"/>
          <w:lang w:val="en-US" w:eastAsia="zh-CN"/>
        </w:rPr>
        <w:t>顺德区乐从中学、</w:t>
      </w:r>
      <w:r>
        <w:rPr>
          <w:rFonts w:hint="eastAsia" w:cs="Times New Roman"/>
          <w:lang w:val="en-US" w:eastAsia="zh-CN"/>
        </w:rPr>
        <w:t>佛山市</w:t>
      </w:r>
      <w:r>
        <w:rPr>
          <w:rFonts w:hint="eastAsia" w:ascii="Times New Roman" w:hAnsi="Times New Roman" w:eastAsia="宋体" w:cs="Times New Roman"/>
          <w:lang w:val="en-US" w:eastAsia="zh-CN"/>
        </w:rPr>
        <w:t>三水区华侨中学、</w:t>
      </w:r>
      <w:r>
        <w:rPr>
          <w:rFonts w:hint="eastAsia" w:cs="Times New Roman"/>
          <w:lang w:val="en-US" w:eastAsia="zh-CN"/>
        </w:rPr>
        <w:t>佛山市</w:t>
      </w:r>
      <w:r>
        <w:rPr>
          <w:rFonts w:hint="eastAsia" w:ascii="Times New Roman" w:hAnsi="Times New Roman" w:eastAsia="宋体" w:cs="Times New Roman"/>
          <w:lang w:val="en-US" w:eastAsia="zh-CN"/>
        </w:rPr>
        <w:t>高明区纪念中学和</w:t>
      </w:r>
      <w:r>
        <w:rPr>
          <w:rFonts w:hint="eastAsia" w:cs="Times New Roman"/>
          <w:lang w:val="en-US" w:eastAsia="zh-CN"/>
        </w:rPr>
        <w:t>佛山市</w:t>
      </w:r>
      <w:r>
        <w:rPr>
          <w:rFonts w:hint="eastAsia" w:ascii="Times New Roman" w:hAnsi="Times New Roman" w:eastAsia="宋体" w:cs="Times New Roman"/>
          <w:lang w:val="en-US" w:eastAsia="zh-CN"/>
        </w:rPr>
        <w:t>高明区实验中学等。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hYmViNmRlNzdhZjI0YWMzYzAxNDQ0YjE2ZmQ2YjMifQ=="/>
  </w:docVars>
  <w:rsids>
    <w:rsidRoot w:val="00172A27"/>
    <w:rsid w:val="00007D16"/>
    <w:rsid w:val="000428AB"/>
    <w:rsid w:val="000512CB"/>
    <w:rsid w:val="000E23AB"/>
    <w:rsid w:val="00140A9A"/>
    <w:rsid w:val="002215F8"/>
    <w:rsid w:val="0036164E"/>
    <w:rsid w:val="003C6C14"/>
    <w:rsid w:val="003D7D86"/>
    <w:rsid w:val="00481967"/>
    <w:rsid w:val="004E633A"/>
    <w:rsid w:val="004F5D45"/>
    <w:rsid w:val="007628E2"/>
    <w:rsid w:val="0077306B"/>
    <w:rsid w:val="00780CD4"/>
    <w:rsid w:val="00783DE9"/>
    <w:rsid w:val="007B5DD9"/>
    <w:rsid w:val="00A4798B"/>
    <w:rsid w:val="00A64569"/>
    <w:rsid w:val="00AB4E85"/>
    <w:rsid w:val="00AE7C06"/>
    <w:rsid w:val="00C6099D"/>
    <w:rsid w:val="00E96127"/>
    <w:rsid w:val="00EF25C2"/>
    <w:rsid w:val="00F47775"/>
    <w:rsid w:val="00FE64C7"/>
    <w:rsid w:val="03EE5987"/>
    <w:rsid w:val="03FB69ED"/>
    <w:rsid w:val="045E6889"/>
    <w:rsid w:val="0AFA2628"/>
    <w:rsid w:val="0B122BFE"/>
    <w:rsid w:val="0C106DE6"/>
    <w:rsid w:val="11E319E8"/>
    <w:rsid w:val="12735E07"/>
    <w:rsid w:val="14D50C6F"/>
    <w:rsid w:val="159B7DEA"/>
    <w:rsid w:val="168F75C2"/>
    <w:rsid w:val="16B92708"/>
    <w:rsid w:val="188C0B7B"/>
    <w:rsid w:val="1CFB344E"/>
    <w:rsid w:val="1D4F2044"/>
    <w:rsid w:val="1EFD3192"/>
    <w:rsid w:val="22F000E9"/>
    <w:rsid w:val="2419125B"/>
    <w:rsid w:val="24F40E6C"/>
    <w:rsid w:val="2589141B"/>
    <w:rsid w:val="27420CF5"/>
    <w:rsid w:val="276F2E86"/>
    <w:rsid w:val="294739C9"/>
    <w:rsid w:val="2BDD0937"/>
    <w:rsid w:val="2D304F64"/>
    <w:rsid w:val="2EFC57A7"/>
    <w:rsid w:val="305C228F"/>
    <w:rsid w:val="353E3268"/>
    <w:rsid w:val="362B0B6D"/>
    <w:rsid w:val="380D718E"/>
    <w:rsid w:val="3A1B2B3D"/>
    <w:rsid w:val="3BC047A9"/>
    <w:rsid w:val="3BCC3F21"/>
    <w:rsid w:val="3E3717A7"/>
    <w:rsid w:val="3EAE270E"/>
    <w:rsid w:val="3EBC0D88"/>
    <w:rsid w:val="413872CB"/>
    <w:rsid w:val="413E3A87"/>
    <w:rsid w:val="417A1B09"/>
    <w:rsid w:val="438660D8"/>
    <w:rsid w:val="44447EDB"/>
    <w:rsid w:val="449D5752"/>
    <w:rsid w:val="45EA198E"/>
    <w:rsid w:val="46077B08"/>
    <w:rsid w:val="48300287"/>
    <w:rsid w:val="494E0CE1"/>
    <w:rsid w:val="497F31F9"/>
    <w:rsid w:val="4B0202C1"/>
    <w:rsid w:val="4C5C65FA"/>
    <w:rsid w:val="4CEB23C1"/>
    <w:rsid w:val="4DFB61FC"/>
    <w:rsid w:val="53385E9D"/>
    <w:rsid w:val="550D43F3"/>
    <w:rsid w:val="57897A18"/>
    <w:rsid w:val="5AA7093F"/>
    <w:rsid w:val="5BAE16D2"/>
    <w:rsid w:val="5C2909E6"/>
    <w:rsid w:val="5C473A6D"/>
    <w:rsid w:val="5D8F6FEE"/>
    <w:rsid w:val="5DA67D4E"/>
    <w:rsid w:val="5E3592FC"/>
    <w:rsid w:val="5EE75951"/>
    <w:rsid w:val="6A4B68DB"/>
    <w:rsid w:val="6A7D4CE7"/>
    <w:rsid w:val="6AB23556"/>
    <w:rsid w:val="6AC10335"/>
    <w:rsid w:val="6BFA0F71"/>
    <w:rsid w:val="6DEA8A44"/>
    <w:rsid w:val="6E3277DC"/>
    <w:rsid w:val="700200DF"/>
    <w:rsid w:val="727A7DB9"/>
    <w:rsid w:val="72F64D4A"/>
    <w:rsid w:val="73242C99"/>
    <w:rsid w:val="73FA77C5"/>
    <w:rsid w:val="75473D37"/>
    <w:rsid w:val="77717622"/>
    <w:rsid w:val="78855367"/>
    <w:rsid w:val="7BFE1BDC"/>
    <w:rsid w:val="7D3B78B7"/>
    <w:rsid w:val="7EECD6DB"/>
    <w:rsid w:val="7F6E456A"/>
    <w:rsid w:val="7FCB9173"/>
    <w:rsid w:val="9DF6ECF9"/>
    <w:rsid w:val="AEF36263"/>
    <w:rsid w:val="B1AE36F5"/>
    <w:rsid w:val="CD9AD372"/>
    <w:rsid w:val="CF7F66D9"/>
    <w:rsid w:val="E7AA253A"/>
    <w:rsid w:val="EEE51681"/>
    <w:rsid w:val="F7A764F8"/>
    <w:rsid w:val="FBFC6423"/>
    <w:rsid w:val="FCDB409E"/>
    <w:rsid w:val="FFFD1E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link w:val="11"/>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rPr>
      <w:rFonts w:ascii="仿宋_GB2312" w:eastAsia="仿宋_GB2312"/>
      <w:sz w:val="32"/>
      <w:szCs w:val="20"/>
    </w:r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qFormat/>
    <w:uiPriority w:val="0"/>
    <w:pPr>
      <w:widowControl w:val="0"/>
      <w:snapToGrid w:val="0"/>
      <w:jc w:val="left"/>
    </w:pPr>
    <w:rPr>
      <w:rFonts w:ascii="Times New Roman" w:hAnsi="Times New Roman" w:eastAsia="宋体" w:cs="Times New Roman"/>
      <w:kern w:val="2"/>
      <w:sz w:val="18"/>
      <w:szCs w:val="24"/>
      <w:lang w:val="en-US" w:eastAsia="zh-CN" w:bidi="ar-SA"/>
    </w:rPr>
  </w:style>
  <w:style w:type="paragraph" w:styleId="7">
    <w:name w:val="Normal (Web)"/>
    <w:basedOn w:val="1"/>
    <w:qFormat/>
    <w:uiPriority w:val="0"/>
    <w:pPr>
      <w:widowControl/>
      <w:jc w:val="left"/>
    </w:pPr>
    <w:rPr>
      <w:rFonts w:ascii="宋体" w:hAnsi="宋体" w:cs="宋体"/>
      <w:kern w:val="0"/>
      <w:sz w:val="24"/>
      <w:szCs w:val="24"/>
    </w:rPr>
  </w:style>
  <w:style w:type="table" w:styleId="9">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默认段落字体 Para Char"/>
    <w:basedOn w:val="1"/>
    <w:next w:val="1"/>
    <w:link w:val="10"/>
    <w:qFormat/>
    <w:uiPriority w:val="0"/>
    <w:pPr>
      <w:spacing w:line="360" w:lineRule="auto"/>
      <w:ind w:firstLine="200" w:firstLineChars="200"/>
    </w:pPr>
  </w:style>
  <w:style w:type="character" w:styleId="12">
    <w:name w:val="page number"/>
    <w:basedOn w:val="10"/>
    <w:qFormat/>
    <w:uiPriority w:val="0"/>
  </w:style>
  <w:style w:type="character" w:styleId="13">
    <w:name w:val="footnote reference"/>
    <w:qFormat/>
    <w:uiPriority w:val="0"/>
    <w:rPr>
      <w:vertAlign w:val="superscript"/>
    </w:rPr>
  </w:style>
  <w:style w:type="paragraph" w:customStyle="1" w:styleId="14">
    <w:name w:val="三、四类标题2017"/>
    <w:basedOn w:val="1"/>
    <w:qFormat/>
    <w:uiPriority w:val="0"/>
    <w:pPr>
      <w:spacing w:line="560" w:lineRule="exact"/>
      <w:ind w:firstLine="640" w:firstLineChars="200"/>
    </w:pPr>
    <w:rPr>
      <w:rFonts w:ascii="Times New Roman" w:hAnsi="Times New Roman" w:eastAsia="仿宋_GB2312"/>
      <w:sz w:val="32"/>
    </w:rPr>
  </w:style>
  <w:style w:type="paragraph" w:customStyle="1" w:styleId="15">
    <w:name w:val="2017三、四类标题"/>
    <w:basedOn w:val="1"/>
    <w:qFormat/>
    <w:uiPriority w:val="0"/>
    <w:pPr>
      <w:spacing w:line="560" w:lineRule="exact"/>
      <w:ind w:firstLine="640" w:firstLineChars="200"/>
    </w:pPr>
    <w:rPr>
      <w:rFonts w:ascii="Times New Roman" w:hAnsi="Times New Roman" w:eastAsia="仿宋_GB2312" w:cs="Times New Roman"/>
      <w:sz w:val="32"/>
    </w:rPr>
  </w:style>
  <w:style w:type="paragraph" w:customStyle="1" w:styleId="16">
    <w:name w:val="2017公文标题"/>
    <w:basedOn w:val="1"/>
    <w:qFormat/>
    <w:uiPriority w:val="0"/>
    <w:pPr>
      <w:spacing w:line="660" w:lineRule="exact"/>
      <w:jc w:val="center"/>
    </w:pPr>
    <w:rPr>
      <w:rFonts w:ascii="Times New Roman" w:hAnsi="Times New Roman" w:eastAsia="方正小标宋简体" w:cs="Times New Roman"/>
      <w:sz w:val="44"/>
    </w:rPr>
  </w:style>
  <w:style w:type="paragraph" w:customStyle="1" w:styleId="17">
    <w:name w:val="二类标题2017"/>
    <w:basedOn w:val="1"/>
    <w:qFormat/>
    <w:uiPriority w:val="0"/>
    <w:pPr>
      <w:spacing w:line="560" w:lineRule="exact"/>
      <w:ind w:firstLine="640" w:firstLineChars="200"/>
    </w:pPr>
    <w:rPr>
      <w:rFonts w:ascii="Times New Roman" w:hAnsi="Times New Roman" w:eastAsia="楷体"/>
      <w:sz w:val="32"/>
    </w:rPr>
  </w:style>
  <w:style w:type="paragraph" w:customStyle="1" w:styleId="18">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
    <w:name w:val="公文标题2017"/>
    <w:basedOn w:val="1"/>
    <w:qFormat/>
    <w:uiPriority w:val="0"/>
    <w:pPr>
      <w:spacing w:line="660" w:lineRule="exact"/>
      <w:jc w:val="center"/>
    </w:pPr>
    <w:rPr>
      <w:rFonts w:ascii="Times New Roman" w:hAnsi="Times New Roman" w:eastAsia="方正小标宋简体"/>
      <w:sz w:val="44"/>
    </w:rPr>
  </w:style>
  <w:style w:type="paragraph" w:customStyle="1" w:styleId="20">
    <w:name w:val="一类标题2017"/>
    <w:basedOn w:val="1"/>
    <w:qFormat/>
    <w:uiPriority w:val="0"/>
    <w:pPr>
      <w:spacing w:line="560" w:lineRule="exact"/>
      <w:ind w:firstLine="630" w:firstLineChars="0"/>
      <w:jc w:val="both"/>
    </w:pPr>
    <w:rPr>
      <w:rFonts w:ascii="Times New Roman" w:hAnsi="Times New Roman" w:eastAsia="黑体"/>
      <w:sz w:val="32"/>
    </w:rPr>
  </w:style>
  <w:style w:type="paragraph" w:customStyle="1" w:styleId="21">
    <w:name w:val="2017一类标题"/>
    <w:basedOn w:val="1"/>
    <w:qFormat/>
    <w:uiPriority w:val="0"/>
    <w:pPr>
      <w:spacing w:line="560" w:lineRule="exact"/>
      <w:ind w:firstLine="630" w:firstLineChars="0"/>
      <w:jc w:val="both"/>
    </w:pPr>
    <w:rPr>
      <w:rFonts w:ascii="Times New Roman" w:hAnsi="Times New Roman" w:eastAsia="黑体" w:cs="Times New Roman"/>
      <w:sz w:val="32"/>
    </w:rPr>
  </w:style>
  <w:style w:type="paragraph" w:customStyle="1" w:styleId="22">
    <w:name w:val="2017二类标题"/>
    <w:basedOn w:val="1"/>
    <w:qFormat/>
    <w:uiPriority w:val="0"/>
    <w:pPr>
      <w:spacing w:line="560" w:lineRule="exact"/>
      <w:ind w:firstLine="640" w:firstLineChars="200"/>
    </w:pPr>
    <w:rPr>
      <w:rFonts w:ascii="Times New Roman" w:hAnsi="Times New Roman" w:eastAsia="楷体" w:cs="Times New Roman"/>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24</Pages>
  <Words>11707</Words>
  <Characters>11978</Characters>
  <Lines>92</Lines>
  <Paragraphs>25</Paragraphs>
  <TotalTime>1</TotalTime>
  <ScaleCrop>false</ScaleCrop>
  <LinksUpToDate>false</LinksUpToDate>
  <CharactersWithSpaces>12027</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2019-01-05T22:42:00Z</dcterms:created>
  <dc:creator>zhaoxinlei</dc:creator>
  <cp:lastModifiedBy>罗爱镕</cp:lastModifiedBy>
  <cp:lastPrinted>2025-02-26T14:54:24Z</cp:lastPrinted>
  <dcterms:modified xsi:type="dcterms:W3CDTF">2025-02-26T14:54:38Z</dcterms:modified>
  <dc:title>不公开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DF1034A706FB4B9398F869E7895C7659</vt:lpwstr>
  </property>
</Properties>
</file>